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spacing w:line="360" w:lineRule="auto"/>
        <w:jc w:val="center"/>
        <w:rPr>
          <w:rFonts w:hint="eastAsia" w:ascii="新宋体" w:hAnsi="新宋体" w:eastAsia="新宋体" w:cs="新宋体"/>
          <w:b/>
          <w:color w:val="000000"/>
          <w:sz w:val="32"/>
        </w:rPr>
      </w:pPr>
    </w:p>
    <w:p>
      <w:pPr>
        <w:pStyle w:val="5"/>
        <w:spacing w:line="360" w:lineRule="auto"/>
        <w:jc w:val="center"/>
        <w:rPr>
          <w:rFonts w:hint="eastAsia" w:ascii="新宋体" w:hAnsi="新宋体" w:eastAsia="新宋体" w:cs="新宋体"/>
          <w:b/>
          <w:color w:val="000000"/>
          <w:sz w:val="32"/>
        </w:rPr>
      </w:pPr>
    </w:p>
    <w:p>
      <w:pPr>
        <w:pStyle w:val="5"/>
        <w:spacing w:line="800" w:lineRule="exact"/>
        <w:jc w:val="center"/>
        <w:rPr>
          <w:rFonts w:hint="eastAsia" w:ascii="新宋体" w:hAnsi="新宋体" w:eastAsia="新宋体" w:cs="新宋体"/>
          <w:b/>
          <w:sz w:val="52"/>
        </w:rPr>
      </w:pPr>
      <w:bookmarkStart w:id="6" w:name="_GoBack"/>
      <w:r>
        <w:rPr>
          <w:rFonts w:hint="eastAsia" w:ascii="新宋体" w:hAnsi="新宋体" w:eastAsia="新宋体" w:cs="新宋体"/>
          <w:b/>
          <w:sz w:val="52"/>
        </w:rPr>
        <w:t>义乌市卫计委</w:t>
      </w:r>
      <w:r>
        <w:rPr>
          <w:rFonts w:hint="eastAsia" w:ascii="新宋体" w:hAnsi="新宋体" w:eastAsia="新宋体" w:cs="新宋体"/>
          <w:b/>
          <w:sz w:val="52"/>
          <w:lang w:eastAsia="zh-CN"/>
        </w:rPr>
        <w:t>诊断监护</w:t>
      </w:r>
      <w:r>
        <w:rPr>
          <w:rFonts w:hint="eastAsia" w:ascii="新宋体" w:hAnsi="新宋体" w:eastAsia="新宋体" w:cs="新宋体"/>
          <w:b/>
          <w:sz w:val="52"/>
        </w:rPr>
        <w:t>类</w:t>
      </w:r>
      <w:r>
        <w:rPr>
          <w:rFonts w:hint="eastAsia" w:ascii="新宋体" w:hAnsi="新宋体" w:eastAsia="新宋体" w:cs="新宋体"/>
          <w:b/>
          <w:sz w:val="52"/>
          <w:lang w:eastAsia="zh-CN"/>
        </w:rPr>
        <w:t>（部分）</w:t>
      </w:r>
      <w:r>
        <w:rPr>
          <w:rFonts w:hint="eastAsia" w:ascii="新宋体" w:hAnsi="新宋体" w:eastAsia="新宋体" w:cs="新宋体"/>
          <w:b/>
          <w:sz w:val="52"/>
        </w:rPr>
        <w:t>设备</w:t>
      </w:r>
    </w:p>
    <w:p>
      <w:pPr>
        <w:pStyle w:val="5"/>
        <w:spacing w:line="800" w:lineRule="exact"/>
        <w:jc w:val="center"/>
        <w:rPr>
          <w:rFonts w:hint="eastAsia" w:ascii="新宋体" w:hAnsi="新宋体" w:eastAsia="新宋体" w:cs="新宋体"/>
          <w:b/>
          <w:sz w:val="52"/>
        </w:rPr>
      </w:pPr>
      <w:r>
        <w:rPr>
          <w:rFonts w:hint="eastAsia" w:ascii="新宋体" w:hAnsi="新宋体" w:eastAsia="新宋体" w:cs="新宋体"/>
          <w:b/>
          <w:sz w:val="52"/>
        </w:rPr>
        <w:t>采购项目</w:t>
      </w:r>
    </w:p>
    <w:bookmarkEnd w:id="6"/>
    <w:p>
      <w:pPr>
        <w:pStyle w:val="5"/>
        <w:spacing w:line="800" w:lineRule="exact"/>
        <w:jc w:val="center"/>
        <w:rPr>
          <w:rFonts w:hint="eastAsia" w:ascii="新宋体" w:hAnsi="新宋体" w:eastAsia="新宋体" w:cs="新宋体"/>
          <w:b/>
          <w:sz w:val="30"/>
        </w:rPr>
      </w:pPr>
    </w:p>
    <w:p>
      <w:pPr>
        <w:pStyle w:val="5"/>
        <w:spacing w:line="800" w:lineRule="exact"/>
        <w:jc w:val="center"/>
        <w:rPr>
          <w:rFonts w:hint="eastAsia" w:ascii="新宋体" w:hAnsi="新宋体" w:eastAsia="新宋体" w:cs="新宋体"/>
          <w:b/>
          <w:color w:val="008000"/>
          <w:sz w:val="36"/>
        </w:rPr>
      </w:pPr>
    </w:p>
    <w:p>
      <w:pPr>
        <w:pStyle w:val="5"/>
        <w:spacing w:line="360" w:lineRule="auto"/>
        <w:jc w:val="center"/>
        <w:rPr>
          <w:rFonts w:hint="eastAsia" w:ascii="新宋体" w:hAnsi="新宋体" w:eastAsia="新宋体" w:cs="新宋体"/>
          <w:bCs/>
          <w:sz w:val="72"/>
        </w:rPr>
      </w:pPr>
      <w:r>
        <w:rPr>
          <w:rFonts w:hint="eastAsia" w:ascii="新宋体" w:hAnsi="新宋体" w:eastAsia="新宋体" w:cs="新宋体"/>
          <w:bCs/>
          <w:sz w:val="72"/>
        </w:rPr>
        <w:t>竞争性谈判采购</w:t>
      </w:r>
    </w:p>
    <w:p>
      <w:pPr>
        <w:pStyle w:val="5"/>
        <w:spacing w:line="360" w:lineRule="auto"/>
        <w:jc w:val="center"/>
        <w:rPr>
          <w:rFonts w:hint="eastAsia" w:ascii="新宋体" w:hAnsi="新宋体" w:eastAsia="新宋体" w:cs="新宋体"/>
          <w:bCs/>
          <w:sz w:val="72"/>
        </w:rPr>
      </w:pPr>
      <w:r>
        <w:rPr>
          <w:rFonts w:hint="eastAsia" w:ascii="新宋体" w:hAnsi="新宋体" w:eastAsia="新宋体" w:cs="新宋体"/>
          <w:bCs/>
          <w:sz w:val="72"/>
        </w:rPr>
        <w:t>文</w:t>
      </w:r>
    </w:p>
    <w:p>
      <w:pPr>
        <w:pStyle w:val="5"/>
        <w:spacing w:line="360" w:lineRule="auto"/>
        <w:jc w:val="center"/>
        <w:rPr>
          <w:rFonts w:hint="eastAsia" w:ascii="新宋体" w:hAnsi="新宋体" w:eastAsia="新宋体" w:cs="新宋体"/>
          <w:sz w:val="84"/>
        </w:rPr>
      </w:pPr>
      <w:r>
        <w:rPr>
          <w:rFonts w:hint="eastAsia" w:ascii="新宋体" w:hAnsi="新宋体" w:eastAsia="新宋体" w:cs="新宋体"/>
          <w:bCs/>
          <w:sz w:val="72"/>
        </w:rPr>
        <w:t>件</w:t>
      </w:r>
    </w:p>
    <w:p>
      <w:pPr>
        <w:pStyle w:val="5"/>
        <w:spacing w:line="360" w:lineRule="auto"/>
        <w:rPr>
          <w:rFonts w:hint="eastAsia" w:ascii="新宋体" w:hAnsi="新宋体" w:eastAsia="新宋体" w:cs="新宋体"/>
          <w:b/>
          <w:bCs/>
          <w:sz w:val="44"/>
        </w:rPr>
      </w:pPr>
    </w:p>
    <w:p>
      <w:pPr>
        <w:pStyle w:val="5"/>
        <w:spacing w:line="360" w:lineRule="auto"/>
        <w:jc w:val="center"/>
        <w:rPr>
          <w:rFonts w:hint="eastAsia" w:ascii="新宋体" w:hAnsi="新宋体" w:eastAsia="新宋体" w:cs="新宋体"/>
          <w:b/>
          <w:bCs/>
          <w:sz w:val="32"/>
          <w:lang w:val="en-US"/>
        </w:rPr>
      </w:pPr>
      <w:r>
        <w:rPr>
          <w:rFonts w:hint="eastAsia" w:ascii="新宋体" w:hAnsi="新宋体" w:eastAsia="新宋体" w:cs="新宋体"/>
          <w:b/>
          <w:bCs/>
          <w:sz w:val="44"/>
        </w:rPr>
        <w:t>采购编号：YWWJW2015</w:t>
      </w:r>
      <w:r>
        <w:rPr>
          <w:rFonts w:hint="eastAsia" w:ascii="新宋体" w:hAnsi="新宋体" w:eastAsia="新宋体" w:cs="新宋体"/>
          <w:b/>
          <w:bCs/>
          <w:sz w:val="44"/>
          <w:lang w:val="en-US" w:eastAsia="zh-CN"/>
        </w:rPr>
        <w:t>JH</w:t>
      </w:r>
      <w:r>
        <w:rPr>
          <w:rFonts w:hint="eastAsia" w:ascii="新宋体" w:hAnsi="新宋体" w:eastAsia="新宋体" w:cs="新宋体"/>
          <w:b/>
          <w:bCs/>
          <w:sz w:val="44"/>
        </w:rPr>
        <w:t>-</w:t>
      </w:r>
      <w:r>
        <w:rPr>
          <w:rFonts w:hint="eastAsia" w:ascii="新宋体" w:hAnsi="新宋体" w:eastAsia="新宋体" w:cs="新宋体"/>
          <w:b/>
          <w:bCs/>
          <w:sz w:val="44"/>
          <w:lang w:val="en-US" w:eastAsia="zh-CN"/>
        </w:rPr>
        <w:t>001</w:t>
      </w:r>
    </w:p>
    <w:p>
      <w:pPr>
        <w:pStyle w:val="5"/>
        <w:spacing w:line="360" w:lineRule="auto"/>
        <w:rPr>
          <w:rFonts w:hint="eastAsia" w:ascii="新宋体" w:hAnsi="新宋体" w:eastAsia="新宋体" w:cs="新宋体"/>
          <w:b/>
          <w:bCs/>
          <w:sz w:val="32"/>
        </w:rPr>
      </w:pPr>
    </w:p>
    <w:p>
      <w:pPr>
        <w:pStyle w:val="5"/>
        <w:spacing w:line="360" w:lineRule="auto"/>
        <w:rPr>
          <w:rFonts w:hint="eastAsia" w:ascii="新宋体" w:hAnsi="新宋体" w:eastAsia="新宋体" w:cs="新宋体"/>
          <w:b/>
          <w:bCs/>
          <w:sz w:val="32"/>
        </w:rPr>
      </w:pPr>
    </w:p>
    <w:p>
      <w:pPr>
        <w:adjustRightInd w:val="0"/>
        <w:snapToGrid w:val="0"/>
        <w:spacing w:line="360" w:lineRule="auto"/>
        <w:jc w:val="center"/>
        <w:rPr>
          <w:rFonts w:hint="eastAsia" w:ascii="新宋体" w:hAnsi="新宋体" w:eastAsia="新宋体" w:cs="新宋体"/>
          <w:b/>
          <w:sz w:val="36"/>
        </w:rPr>
      </w:pPr>
      <w:r>
        <w:rPr>
          <w:rFonts w:hint="eastAsia" w:ascii="新宋体" w:hAnsi="新宋体" w:eastAsia="新宋体" w:cs="新宋体"/>
          <w:b/>
          <w:sz w:val="36"/>
        </w:rPr>
        <w:t>义乌市卫计委</w:t>
      </w:r>
    </w:p>
    <w:p>
      <w:pPr>
        <w:adjustRightInd w:val="0"/>
        <w:snapToGrid w:val="0"/>
        <w:spacing w:line="360" w:lineRule="auto"/>
        <w:jc w:val="center"/>
        <w:rPr>
          <w:rFonts w:hint="eastAsia" w:ascii="新宋体" w:hAnsi="新宋体" w:eastAsia="新宋体" w:cs="新宋体"/>
          <w:b/>
          <w:bCs/>
          <w:sz w:val="36"/>
          <w:szCs w:val="32"/>
        </w:rPr>
      </w:pPr>
      <w:r>
        <w:rPr>
          <w:rFonts w:hint="eastAsia" w:ascii="新宋体" w:hAnsi="新宋体" w:eastAsia="新宋体" w:cs="新宋体"/>
          <w:b/>
          <w:sz w:val="36"/>
        </w:rPr>
        <w:t>义乌市</w:t>
      </w:r>
      <w:r>
        <w:rPr>
          <w:rFonts w:hint="eastAsia" w:ascii="新宋体" w:hAnsi="新宋体" w:eastAsia="新宋体" w:cs="新宋体"/>
          <w:b/>
          <w:bCs/>
          <w:sz w:val="36"/>
          <w:szCs w:val="32"/>
        </w:rPr>
        <w:t>卫生事务管理服务中心</w:t>
      </w:r>
    </w:p>
    <w:p>
      <w:pPr>
        <w:adjustRightInd w:val="0"/>
        <w:snapToGrid w:val="0"/>
        <w:spacing w:line="360" w:lineRule="auto"/>
        <w:jc w:val="center"/>
        <w:rPr>
          <w:rFonts w:hint="eastAsia" w:ascii="新宋体" w:hAnsi="新宋体" w:eastAsia="新宋体" w:cs="新宋体"/>
          <w:b/>
          <w:bCs/>
          <w:sz w:val="36"/>
        </w:rPr>
      </w:pPr>
      <w:r>
        <w:rPr>
          <w:rFonts w:hint="eastAsia" w:ascii="新宋体" w:hAnsi="新宋体" w:eastAsia="新宋体" w:cs="新宋体"/>
          <w:b/>
          <w:bCs/>
          <w:sz w:val="36"/>
        </w:rPr>
        <w:t>二0一五年十</w:t>
      </w:r>
      <w:r>
        <w:rPr>
          <w:rFonts w:hint="eastAsia" w:ascii="新宋体" w:hAnsi="新宋体" w:eastAsia="新宋体" w:cs="新宋体"/>
          <w:b/>
          <w:bCs/>
          <w:sz w:val="36"/>
          <w:lang w:eastAsia="zh-CN"/>
        </w:rPr>
        <w:t>一</w:t>
      </w:r>
      <w:r>
        <w:rPr>
          <w:rFonts w:hint="eastAsia" w:ascii="新宋体" w:hAnsi="新宋体" w:eastAsia="新宋体" w:cs="新宋体"/>
          <w:b/>
          <w:bCs/>
          <w:sz w:val="36"/>
        </w:rPr>
        <w:t>月</w:t>
      </w:r>
      <w:r>
        <w:rPr>
          <w:rFonts w:hint="eastAsia" w:ascii="新宋体" w:hAnsi="新宋体" w:eastAsia="新宋体" w:cs="新宋体"/>
          <w:b/>
          <w:bCs/>
          <w:sz w:val="36"/>
          <w:lang w:eastAsia="zh-CN"/>
        </w:rPr>
        <w:t>五</w:t>
      </w:r>
      <w:r>
        <w:rPr>
          <w:rFonts w:hint="eastAsia" w:ascii="新宋体" w:hAnsi="新宋体" w:eastAsia="新宋体" w:cs="新宋体"/>
          <w:b/>
          <w:bCs/>
          <w:sz w:val="36"/>
        </w:rPr>
        <w:t>日</w:t>
      </w:r>
    </w:p>
    <w:p>
      <w:pPr>
        <w:pStyle w:val="5"/>
        <w:spacing w:line="360" w:lineRule="auto"/>
        <w:rPr>
          <w:rFonts w:hint="eastAsia" w:ascii="新宋体" w:hAnsi="新宋体" w:eastAsia="新宋体" w:cs="新宋体"/>
          <w:b/>
          <w:color w:val="000000"/>
          <w:sz w:val="44"/>
        </w:rPr>
      </w:pPr>
    </w:p>
    <w:p>
      <w:pPr>
        <w:pStyle w:val="5"/>
        <w:spacing w:line="360" w:lineRule="auto"/>
        <w:rPr>
          <w:rFonts w:hint="eastAsia" w:ascii="新宋体" w:hAnsi="新宋体" w:eastAsia="新宋体" w:cs="新宋体"/>
          <w:b/>
          <w:color w:val="000000"/>
          <w:sz w:val="44"/>
        </w:rPr>
      </w:pPr>
    </w:p>
    <w:p>
      <w:pPr>
        <w:pStyle w:val="5"/>
        <w:spacing w:line="360" w:lineRule="auto"/>
        <w:rPr>
          <w:rFonts w:hint="eastAsia" w:ascii="新宋体" w:hAnsi="新宋体" w:eastAsia="新宋体" w:cs="新宋体"/>
          <w:b/>
          <w:color w:val="000000"/>
          <w:sz w:val="36"/>
        </w:rPr>
      </w:pPr>
      <w:r>
        <w:rPr>
          <w:rFonts w:hint="eastAsia" w:ascii="新宋体" w:hAnsi="新宋体" w:eastAsia="新宋体" w:cs="新宋体"/>
          <w:b/>
          <w:color w:val="000000"/>
          <w:sz w:val="36"/>
        </w:rPr>
        <w:br w:type="page"/>
      </w:r>
      <w:r>
        <w:rPr>
          <w:rFonts w:hint="eastAsia" w:ascii="新宋体" w:hAnsi="新宋体" w:eastAsia="新宋体" w:cs="新宋体"/>
          <w:b/>
          <w:color w:val="000000"/>
          <w:sz w:val="36"/>
        </w:rPr>
        <w:t>招标文件目录:</w:t>
      </w:r>
    </w:p>
    <w:p>
      <w:pPr>
        <w:pStyle w:val="5"/>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第一章、</w:t>
      </w:r>
      <w:r>
        <w:rPr>
          <w:rFonts w:hint="eastAsia" w:ascii="新宋体" w:hAnsi="新宋体" w:eastAsia="新宋体" w:cs="新宋体"/>
          <w:color w:val="000000"/>
          <w:sz w:val="28"/>
          <w:lang w:eastAsia="zh-CN"/>
        </w:rPr>
        <w:t>谈判邀请函</w:t>
      </w:r>
    </w:p>
    <w:p>
      <w:pPr>
        <w:pStyle w:val="5"/>
        <w:tabs>
          <w:tab w:val="left" w:pos="1080"/>
        </w:tabs>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第二章、投标方须知</w:t>
      </w:r>
    </w:p>
    <w:p>
      <w:pPr>
        <w:pStyle w:val="5"/>
        <w:tabs>
          <w:tab w:val="left" w:pos="1080"/>
        </w:tabs>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第三章、招标项目要求</w:t>
      </w:r>
    </w:p>
    <w:p>
      <w:pPr>
        <w:pStyle w:val="5"/>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第四章</w:t>
      </w:r>
      <w:r>
        <w:rPr>
          <w:rFonts w:hint="eastAsia" w:ascii="新宋体" w:hAnsi="新宋体" w:eastAsia="新宋体" w:cs="新宋体"/>
          <w:color w:val="000000"/>
          <w:sz w:val="28"/>
          <w:szCs w:val="28"/>
        </w:rPr>
        <w:t>、</w:t>
      </w:r>
      <w:r>
        <w:rPr>
          <w:rFonts w:hint="eastAsia" w:ascii="新宋体" w:hAnsi="新宋体" w:eastAsia="新宋体" w:cs="新宋体"/>
          <w:color w:val="000000"/>
          <w:sz w:val="28"/>
        </w:rPr>
        <w:t>开标和评标须知</w:t>
      </w:r>
    </w:p>
    <w:p>
      <w:pPr>
        <w:pStyle w:val="5"/>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第五章</w:t>
      </w:r>
      <w:r>
        <w:rPr>
          <w:rFonts w:hint="eastAsia" w:ascii="新宋体" w:hAnsi="新宋体" w:eastAsia="新宋体" w:cs="新宋体"/>
          <w:color w:val="000000"/>
          <w:sz w:val="28"/>
          <w:szCs w:val="28"/>
        </w:rPr>
        <w:t>、</w:t>
      </w:r>
      <w:r>
        <w:rPr>
          <w:rFonts w:hint="eastAsia" w:ascii="新宋体" w:hAnsi="新宋体" w:eastAsia="新宋体" w:cs="新宋体"/>
          <w:color w:val="000000"/>
          <w:sz w:val="28"/>
        </w:rPr>
        <w:t>无效标细则</w:t>
      </w:r>
    </w:p>
    <w:p>
      <w:pPr>
        <w:pStyle w:val="5"/>
        <w:tabs>
          <w:tab w:val="left" w:pos="1080"/>
        </w:tabs>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第六章、评标细则</w:t>
      </w:r>
    </w:p>
    <w:p>
      <w:pPr>
        <w:pStyle w:val="5"/>
        <w:tabs>
          <w:tab w:val="left" w:pos="1080"/>
        </w:tabs>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第七章、</w:t>
      </w:r>
      <w:r>
        <w:rPr>
          <w:rFonts w:hint="eastAsia" w:ascii="新宋体" w:hAnsi="新宋体" w:eastAsia="新宋体" w:cs="新宋体"/>
          <w:color w:val="000000"/>
          <w:sz w:val="28"/>
          <w:szCs w:val="28"/>
        </w:rPr>
        <w:t>投标文件格式</w:t>
      </w:r>
    </w:p>
    <w:p>
      <w:pPr>
        <w:pStyle w:val="5"/>
        <w:tabs>
          <w:tab w:val="left" w:pos="1080"/>
        </w:tabs>
        <w:spacing w:line="360" w:lineRule="auto"/>
        <w:ind w:firstLine="560" w:firstLineChars="200"/>
        <w:rPr>
          <w:rFonts w:hint="eastAsia" w:ascii="新宋体" w:hAnsi="新宋体" w:eastAsia="新宋体" w:cs="新宋体"/>
          <w:color w:val="000000"/>
          <w:sz w:val="28"/>
        </w:rPr>
      </w:pPr>
      <w:r>
        <w:rPr>
          <w:rFonts w:hint="eastAsia" w:ascii="新宋体" w:hAnsi="新宋体" w:eastAsia="新宋体" w:cs="新宋体"/>
          <w:color w:val="000000"/>
          <w:sz w:val="28"/>
        </w:rPr>
        <w:t>第八章、义乌市政府采购合同（样本）</w:t>
      </w:r>
    </w:p>
    <w:p>
      <w:pPr>
        <w:pStyle w:val="5"/>
        <w:spacing w:line="360" w:lineRule="auto"/>
        <w:jc w:val="center"/>
        <w:rPr>
          <w:rFonts w:hint="eastAsia" w:ascii="新宋体" w:hAnsi="新宋体" w:eastAsia="新宋体" w:cs="新宋体"/>
          <w:b/>
          <w:bCs/>
          <w:color w:val="000000"/>
          <w:sz w:val="44"/>
        </w:rPr>
      </w:pPr>
      <w:r>
        <w:rPr>
          <w:rFonts w:hint="eastAsia" w:ascii="新宋体" w:hAnsi="新宋体" w:eastAsia="新宋体" w:cs="新宋体"/>
          <w:b/>
          <w:bCs/>
          <w:color w:val="000000"/>
          <w:sz w:val="36"/>
        </w:rPr>
        <w:br w:type="page"/>
      </w:r>
      <w:r>
        <w:rPr>
          <w:rFonts w:hint="eastAsia" w:ascii="新宋体" w:hAnsi="新宋体" w:eastAsia="新宋体" w:cs="新宋体"/>
          <w:b/>
          <w:bCs/>
          <w:sz w:val="36"/>
        </w:rPr>
        <w:t>第一章  竞争性谈判邀请</w:t>
      </w:r>
      <w:r>
        <w:rPr>
          <w:rFonts w:hint="eastAsia" w:ascii="新宋体" w:hAnsi="新宋体" w:eastAsia="新宋体" w:cs="新宋体"/>
          <w:b/>
          <w:bCs/>
          <w:sz w:val="36"/>
          <w:lang w:eastAsia="zh-CN"/>
        </w:rPr>
        <w:t>函（公告）</w:t>
      </w:r>
    </w:p>
    <w:p>
      <w:pPr>
        <w:pStyle w:val="4"/>
        <w:spacing w:line="320" w:lineRule="exac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受</w:t>
      </w:r>
      <w:r>
        <w:rPr>
          <w:rFonts w:hint="eastAsia" w:ascii="新宋体" w:hAnsi="新宋体" w:eastAsia="新宋体" w:cs="新宋体"/>
          <w:color w:val="auto"/>
          <w:kern w:val="0"/>
          <w:sz w:val="21"/>
          <w:szCs w:val="21"/>
        </w:rPr>
        <w:t>我市医疗单位</w:t>
      </w:r>
      <w:r>
        <w:rPr>
          <w:rFonts w:hint="eastAsia" w:ascii="新宋体" w:hAnsi="新宋体" w:eastAsia="新宋体" w:cs="新宋体"/>
          <w:color w:val="auto"/>
          <w:sz w:val="21"/>
          <w:szCs w:val="21"/>
        </w:rPr>
        <w:t>委托，就其各单位的部分</w:t>
      </w:r>
      <w:r>
        <w:rPr>
          <w:rFonts w:hint="eastAsia" w:ascii="新宋体" w:hAnsi="新宋体" w:eastAsia="新宋体" w:cs="新宋体"/>
          <w:color w:val="auto"/>
          <w:sz w:val="21"/>
          <w:szCs w:val="21"/>
          <w:lang w:eastAsia="zh-CN"/>
        </w:rPr>
        <w:t>诊断监护类</w:t>
      </w:r>
      <w:r>
        <w:rPr>
          <w:rFonts w:hint="eastAsia" w:ascii="新宋体" w:hAnsi="新宋体" w:eastAsia="新宋体" w:cs="新宋体"/>
          <w:color w:val="auto"/>
          <w:sz w:val="21"/>
          <w:szCs w:val="21"/>
          <w:lang w:val="en-US" w:eastAsia="zh-CN"/>
        </w:rPr>
        <w:t>(部分）</w:t>
      </w:r>
      <w:r>
        <w:rPr>
          <w:rFonts w:hint="eastAsia" w:ascii="新宋体" w:hAnsi="新宋体" w:eastAsia="新宋体" w:cs="新宋体"/>
          <w:color w:val="auto"/>
          <w:sz w:val="21"/>
          <w:szCs w:val="21"/>
          <w:lang w:eastAsia="zh-CN"/>
        </w:rPr>
        <w:t>项目</w:t>
      </w:r>
      <w:r>
        <w:rPr>
          <w:rFonts w:hint="eastAsia" w:ascii="新宋体" w:hAnsi="新宋体" w:eastAsia="新宋体" w:cs="新宋体"/>
          <w:color w:val="auto"/>
          <w:sz w:val="21"/>
          <w:szCs w:val="21"/>
        </w:rPr>
        <w:t>进行竞争性谈判（批量集中）采购，欢迎国内有供货能力的厂（商）家参加竞争投标。</w:t>
      </w:r>
    </w:p>
    <w:p>
      <w:pPr>
        <w:pStyle w:val="5"/>
        <w:numPr>
          <w:ilvl w:val="0"/>
          <w:numId w:val="1"/>
        </w:numPr>
        <w:spacing w:line="320" w:lineRule="exact"/>
        <w:rPr>
          <w:rFonts w:hint="eastAsia" w:ascii="新宋体" w:hAnsi="新宋体" w:eastAsia="新宋体" w:cs="新宋体"/>
          <w:color w:val="auto"/>
          <w:sz w:val="21"/>
          <w:szCs w:val="21"/>
        </w:rPr>
      </w:pPr>
      <w:r>
        <w:rPr>
          <w:rFonts w:hint="eastAsia" w:ascii="新宋体" w:hAnsi="新宋体" w:eastAsia="新宋体" w:cs="新宋体"/>
          <w:b/>
          <w:color w:val="auto"/>
          <w:sz w:val="21"/>
          <w:szCs w:val="21"/>
        </w:rPr>
        <w:t>采购编号</w:t>
      </w:r>
      <w:r>
        <w:rPr>
          <w:rFonts w:hint="eastAsia" w:ascii="新宋体" w:hAnsi="新宋体" w:eastAsia="新宋体" w:cs="新宋体"/>
          <w:color w:val="auto"/>
          <w:sz w:val="21"/>
          <w:szCs w:val="21"/>
        </w:rPr>
        <w:t>：YWWJW201</w:t>
      </w:r>
      <w:r>
        <w:rPr>
          <w:rFonts w:hint="eastAsia" w:ascii="新宋体" w:hAnsi="新宋体" w:eastAsia="新宋体" w:cs="新宋体"/>
          <w:color w:val="auto"/>
          <w:sz w:val="21"/>
          <w:szCs w:val="21"/>
          <w:lang w:val="en-US" w:eastAsia="zh-CN"/>
        </w:rPr>
        <w:t>5JH</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001</w:t>
      </w:r>
      <w:r>
        <w:rPr>
          <w:rFonts w:hint="eastAsia" w:ascii="新宋体" w:hAnsi="新宋体" w:eastAsia="新宋体" w:cs="新宋体"/>
          <w:color w:val="auto"/>
          <w:sz w:val="21"/>
          <w:szCs w:val="21"/>
        </w:rPr>
        <w:t>。</w:t>
      </w:r>
    </w:p>
    <w:p>
      <w:pPr>
        <w:numPr>
          <w:ilvl w:val="0"/>
          <w:numId w:val="1"/>
        </w:numPr>
        <w:spacing w:line="320" w:lineRule="exact"/>
        <w:rPr>
          <w:rFonts w:hint="eastAsia" w:ascii="新宋体" w:hAnsi="新宋体" w:eastAsia="新宋体" w:cs="新宋体"/>
          <w:color w:val="auto"/>
          <w:sz w:val="21"/>
          <w:szCs w:val="21"/>
        </w:rPr>
      </w:pPr>
      <w:r>
        <w:rPr>
          <w:rFonts w:hint="eastAsia" w:ascii="新宋体" w:hAnsi="新宋体" w:eastAsia="新宋体" w:cs="新宋体"/>
          <w:b/>
          <w:color w:val="auto"/>
          <w:sz w:val="21"/>
          <w:szCs w:val="21"/>
        </w:rPr>
        <w:t>采购货物名称及预算</w:t>
      </w:r>
      <w:r>
        <w:rPr>
          <w:rFonts w:hint="eastAsia" w:ascii="新宋体" w:hAnsi="新宋体" w:eastAsia="新宋体" w:cs="新宋体"/>
          <w:color w:val="auto"/>
          <w:sz w:val="21"/>
          <w:szCs w:val="21"/>
        </w:rPr>
        <w:t>：</w:t>
      </w:r>
    </w:p>
    <w:tbl>
      <w:tblPr>
        <w:tblStyle w:val="12"/>
        <w:tblW w:w="9753" w:type="dxa"/>
        <w:jc w:val="center"/>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19"/>
        <w:gridCol w:w="1134"/>
        <w:gridCol w:w="1134"/>
        <w:gridCol w:w="99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4" w:type="dxa"/>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序号</w:t>
            </w:r>
          </w:p>
        </w:tc>
        <w:tc>
          <w:tcPr>
            <w:tcW w:w="3119" w:type="dxa"/>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项目</w:t>
            </w:r>
          </w:p>
        </w:tc>
        <w:tc>
          <w:tcPr>
            <w:tcW w:w="1134" w:type="dxa"/>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数量</w:t>
            </w:r>
          </w:p>
        </w:tc>
        <w:tc>
          <w:tcPr>
            <w:tcW w:w="1134" w:type="dxa"/>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预算总价</w:t>
            </w:r>
          </w:p>
        </w:tc>
        <w:tc>
          <w:tcPr>
            <w:tcW w:w="993" w:type="dxa"/>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是否进口</w:t>
            </w:r>
          </w:p>
        </w:tc>
        <w:tc>
          <w:tcPr>
            <w:tcW w:w="2409" w:type="dxa"/>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64" w:type="dxa"/>
            <w:vMerge w:val="restart"/>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标段一</w:t>
            </w:r>
          </w:p>
        </w:tc>
        <w:tc>
          <w:tcPr>
            <w:tcW w:w="3119" w:type="dxa"/>
            <w:vAlign w:val="center"/>
          </w:tcPr>
          <w:p>
            <w:pPr>
              <w:jc w:val="center"/>
              <w:rPr>
                <w:rFonts w:hint="eastAsia" w:ascii="新宋体" w:hAnsi="新宋体" w:eastAsia="新宋体" w:cs="新宋体"/>
                <w:color w:val="auto"/>
                <w:sz w:val="21"/>
                <w:szCs w:val="21"/>
                <w:lang w:val="en-US" w:eastAsia="zh-CN"/>
              </w:rPr>
            </w:pPr>
            <w:r>
              <w:rPr>
                <w:rFonts w:hint="eastAsia" w:ascii="宋体" w:hAnsi="宋体"/>
                <w:sz w:val="24"/>
              </w:rPr>
              <w:t>动态心电图</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1134" w:type="dxa"/>
            <w:vAlign w:val="center"/>
          </w:tcPr>
          <w:p>
            <w:pPr>
              <w:spacing w:line="320" w:lineRule="exact"/>
              <w:jc w:val="center"/>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20万</w:t>
            </w:r>
          </w:p>
        </w:tc>
        <w:tc>
          <w:tcPr>
            <w:tcW w:w="993" w:type="dxa"/>
            <w:vAlign w:val="center"/>
          </w:tcPr>
          <w:p>
            <w:pPr>
              <w:spacing w:line="320" w:lineRule="exact"/>
              <w:jc w:val="center"/>
              <w:rPr>
                <w:rFonts w:hint="eastAsia" w:ascii="新宋体" w:hAnsi="新宋体" w:eastAsia="新宋体" w:cs="新宋体"/>
                <w:color w:val="auto"/>
                <w:kern w:val="0"/>
                <w:sz w:val="21"/>
                <w:szCs w:val="21"/>
                <w:lang w:eastAsia="zh-CN"/>
              </w:rPr>
            </w:pPr>
            <w:r>
              <w:rPr>
                <w:rFonts w:hint="eastAsia" w:ascii="新宋体" w:hAnsi="新宋体" w:eastAsia="新宋体" w:cs="新宋体"/>
                <w:color w:val="auto"/>
                <w:kern w:val="0"/>
                <w:sz w:val="21"/>
                <w:szCs w:val="21"/>
                <w:lang w:eastAsia="zh-CN"/>
              </w:rPr>
              <w:t>不限</w:t>
            </w:r>
          </w:p>
        </w:tc>
        <w:tc>
          <w:tcPr>
            <w:tcW w:w="2409" w:type="dxa"/>
            <w:vMerge w:val="restart"/>
            <w:vAlign w:val="center"/>
          </w:tcPr>
          <w:p>
            <w:pPr>
              <w:spacing w:line="320" w:lineRule="exact"/>
              <w:jc w:val="center"/>
              <w:rPr>
                <w:rFonts w:hint="eastAsia" w:ascii="新宋体" w:hAnsi="新宋体" w:eastAsia="新宋体" w:cs="新宋体"/>
                <w:color w:val="auto"/>
                <w:kern w:val="0"/>
                <w:sz w:val="21"/>
                <w:szCs w:val="21"/>
              </w:rPr>
            </w:pPr>
            <w:r>
              <w:rPr>
                <w:rFonts w:hint="eastAsia" w:ascii="新宋体" w:hAnsi="新宋体" w:eastAsia="新宋体"/>
                <w:szCs w:val="21"/>
              </w:rPr>
              <w:t>单个标段不得拆分投标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4" w:type="dxa"/>
            <w:vMerge w:val="continue"/>
            <w:vAlign w:val="center"/>
          </w:tcPr>
          <w:p>
            <w:pPr>
              <w:jc w:val="center"/>
            </w:pPr>
          </w:p>
        </w:tc>
        <w:tc>
          <w:tcPr>
            <w:tcW w:w="3119" w:type="dxa"/>
            <w:vAlign w:val="center"/>
          </w:tcPr>
          <w:p>
            <w:pPr>
              <w:jc w:val="center"/>
              <w:rPr>
                <w:rFonts w:hint="eastAsia" w:ascii="新宋体" w:hAnsi="新宋体" w:eastAsia="新宋体" w:cs="新宋体"/>
                <w:color w:val="auto"/>
                <w:sz w:val="21"/>
                <w:szCs w:val="21"/>
                <w:lang w:eastAsia="zh-CN"/>
              </w:rPr>
            </w:pPr>
            <w:r>
              <w:rPr>
                <w:rFonts w:hint="eastAsia"/>
                <w:sz w:val="24"/>
              </w:rPr>
              <w:t>动态血压系统</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15万</w:t>
            </w:r>
          </w:p>
        </w:tc>
        <w:tc>
          <w:tcPr>
            <w:tcW w:w="993" w:type="dxa"/>
            <w:vAlign w:val="center"/>
          </w:tcPr>
          <w:p>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kern w:val="0"/>
                <w:sz w:val="21"/>
                <w:szCs w:val="21"/>
                <w:lang w:eastAsia="zh-CN"/>
              </w:rPr>
              <w:t>不限</w:t>
            </w:r>
          </w:p>
        </w:tc>
        <w:tc>
          <w:tcPr>
            <w:tcW w:w="2409" w:type="dxa"/>
            <w:vMerge w:val="continue"/>
            <w:vAlign w:val="center"/>
          </w:tcPr>
          <w:p>
            <w:pPr>
              <w:jc w:val="center"/>
              <w:rPr>
                <w:rFonts w:hint="eastAsia" w:ascii="新宋体" w:hAnsi="新宋体" w:eastAsia="新宋体" w:cs="新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4" w:type="dxa"/>
            <w:vMerge w:val="restart"/>
            <w:vAlign w:val="center"/>
          </w:tcPr>
          <w:p>
            <w:pPr>
              <w:jc w:val="center"/>
              <w:rPr>
                <w:rFonts w:hint="eastAsia" w:eastAsiaTheme="minorEastAsia"/>
                <w:lang w:eastAsia="zh-CN"/>
              </w:rPr>
            </w:pPr>
            <w:r>
              <w:rPr>
                <w:rFonts w:hint="eastAsia"/>
                <w:lang w:eastAsia="zh-CN"/>
              </w:rPr>
              <w:t>标段二</w:t>
            </w:r>
          </w:p>
        </w:tc>
        <w:tc>
          <w:tcPr>
            <w:tcW w:w="3119" w:type="dxa"/>
            <w:vAlign w:val="center"/>
          </w:tcPr>
          <w:p>
            <w:pPr>
              <w:jc w:val="center"/>
              <w:rPr>
                <w:rFonts w:hint="eastAsia" w:ascii="新宋体" w:hAnsi="新宋体" w:eastAsia="新宋体" w:cs="新宋体"/>
                <w:b w:val="0"/>
                <w:bCs w:val="0"/>
                <w:color w:val="auto"/>
                <w:sz w:val="21"/>
                <w:szCs w:val="21"/>
                <w:lang w:eastAsia="zh-CN"/>
              </w:rPr>
            </w:pPr>
            <w:r>
              <w:rPr>
                <w:rFonts w:hint="eastAsia" w:ascii="新宋体" w:hAnsi="新宋体" w:eastAsia="新宋体" w:cs="新宋体"/>
                <w:b w:val="0"/>
                <w:bCs w:val="0"/>
                <w:color w:val="auto"/>
                <w:sz w:val="21"/>
                <w:szCs w:val="21"/>
                <w:lang w:eastAsia="zh-CN"/>
              </w:rPr>
              <w:t>除颤监护参数</w:t>
            </w:r>
          </w:p>
          <w:p>
            <w:pPr>
              <w:jc w:val="center"/>
              <w:rPr>
                <w:rFonts w:hint="eastAsia"/>
                <w:b w:val="0"/>
                <w:bCs w:val="0"/>
                <w:sz w:val="24"/>
              </w:rPr>
            </w:pP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5</w:t>
            </w:r>
          </w:p>
        </w:tc>
        <w:tc>
          <w:tcPr>
            <w:tcW w:w="993" w:type="dxa"/>
            <w:vAlign w:val="center"/>
          </w:tcPr>
          <w:p>
            <w:pPr>
              <w:jc w:val="center"/>
              <w:rPr>
                <w:rFonts w:hint="eastAsia" w:ascii="新宋体" w:hAnsi="新宋体" w:eastAsia="新宋体" w:cs="新宋体"/>
                <w:color w:val="auto"/>
                <w:kern w:val="0"/>
                <w:sz w:val="21"/>
                <w:szCs w:val="21"/>
                <w:lang w:eastAsia="zh-CN"/>
              </w:rPr>
            </w:pPr>
            <w:r>
              <w:rPr>
                <w:rFonts w:hint="eastAsia" w:ascii="新宋体" w:hAnsi="新宋体" w:eastAsia="新宋体" w:cs="新宋体"/>
                <w:color w:val="auto"/>
                <w:kern w:val="0"/>
                <w:sz w:val="21"/>
                <w:szCs w:val="21"/>
                <w:lang w:eastAsia="zh-CN"/>
              </w:rPr>
              <w:t>国产</w:t>
            </w:r>
          </w:p>
        </w:tc>
        <w:tc>
          <w:tcPr>
            <w:tcW w:w="2409" w:type="dxa"/>
            <w:vMerge w:val="restart"/>
            <w:vAlign w:val="center"/>
          </w:tcPr>
          <w:p>
            <w:pPr>
              <w:jc w:val="center"/>
              <w:rPr>
                <w:rFonts w:hint="eastAsia" w:ascii="新宋体" w:hAnsi="新宋体" w:eastAsia="新宋体" w:cs="新宋体"/>
                <w:color w:val="auto"/>
                <w:sz w:val="21"/>
                <w:szCs w:val="21"/>
                <w:lang w:eastAsia="zh-CN"/>
              </w:rPr>
            </w:pPr>
            <w:r>
              <w:rPr>
                <w:rFonts w:hint="eastAsia" w:ascii="新宋体" w:hAnsi="新宋体" w:eastAsia="新宋体"/>
                <w:szCs w:val="21"/>
              </w:rPr>
              <w:t>单个标段不得拆分投标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4" w:type="dxa"/>
            <w:vMerge w:val="continue"/>
            <w:tcBorders/>
            <w:vAlign w:val="center"/>
          </w:tcPr>
          <w:p>
            <w:pPr/>
          </w:p>
        </w:tc>
        <w:tc>
          <w:tcPr>
            <w:tcW w:w="3119" w:type="dxa"/>
            <w:vAlign w:val="center"/>
          </w:tcPr>
          <w:p>
            <w:pPr>
              <w:jc w:val="center"/>
              <w:rPr>
                <w:rFonts w:hint="eastAsia"/>
                <w:b w:val="0"/>
                <w:bCs w:val="0"/>
                <w:sz w:val="24"/>
              </w:rPr>
            </w:pPr>
            <w:r>
              <w:rPr>
                <w:rFonts w:hint="eastAsia" w:ascii="新宋体" w:hAnsi="新宋体" w:eastAsia="新宋体" w:cs="新宋体"/>
                <w:b w:val="0"/>
                <w:bCs w:val="0"/>
                <w:color w:val="auto"/>
                <w:sz w:val="21"/>
                <w:szCs w:val="21"/>
                <w:lang w:eastAsia="zh-CN"/>
              </w:rPr>
              <w:t>心电图机</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6</w:t>
            </w:r>
          </w:p>
        </w:tc>
        <w:tc>
          <w:tcPr>
            <w:tcW w:w="993" w:type="dxa"/>
            <w:vAlign w:val="center"/>
          </w:tcPr>
          <w:p>
            <w:pPr>
              <w:jc w:val="center"/>
              <w:rPr>
                <w:rFonts w:hint="eastAsia" w:ascii="新宋体" w:hAnsi="新宋体" w:eastAsia="新宋体" w:cs="新宋体"/>
                <w:color w:val="auto"/>
                <w:kern w:val="0"/>
                <w:sz w:val="21"/>
                <w:szCs w:val="21"/>
                <w:lang w:eastAsia="zh-CN"/>
              </w:rPr>
            </w:pPr>
            <w:r>
              <w:rPr>
                <w:rFonts w:hint="eastAsia" w:ascii="新宋体" w:hAnsi="新宋体" w:eastAsia="新宋体" w:cs="新宋体"/>
                <w:color w:val="auto"/>
                <w:kern w:val="0"/>
                <w:sz w:val="21"/>
                <w:szCs w:val="21"/>
                <w:lang w:eastAsia="zh-CN"/>
              </w:rPr>
              <w:t>国产</w:t>
            </w:r>
          </w:p>
        </w:tc>
        <w:tc>
          <w:tcPr>
            <w:tcW w:w="2409" w:type="dxa"/>
            <w:vMerge w:val="continue"/>
            <w:tcBorders/>
            <w:vAlign w:val="center"/>
          </w:tcPr>
          <w:p>
            <w:pPr>
              <w:rPr>
                <w:rFonts w:hint="eastAsia" w:ascii="新宋体" w:hAnsi="新宋体" w:eastAsia="新宋体" w:cs="新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4" w:type="dxa"/>
            <w:vMerge w:val="continue"/>
            <w:tcBorders/>
            <w:vAlign w:val="center"/>
          </w:tcPr>
          <w:p>
            <w:pPr/>
          </w:p>
        </w:tc>
        <w:tc>
          <w:tcPr>
            <w:tcW w:w="3119" w:type="dxa"/>
            <w:vAlign w:val="center"/>
          </w:tcPr>
          <w:p>
            <w:pPr>
              <w:jc w:val="center"/>
              <w:rPr>
                <w:rFonts w:hint="eastAsia"/>
                <w:b w:val="0"/>
                <w:bCs w:val="0"/>
                <w:sz w:val="24"/>
              </w:rPr>
            </w:pPr>
            <w:r>
              <w:rPr>
                <w:rFonts w:hint="eastAsia" w:ascii="新宋体" w:hAnsi="新宋体" w:eastAsia="新宋体" w:cs="新宋体"/>
                <w:b w:val="0"/>
                <w:bCs w:val="0"/>
                <w:color w:val="auto"/>
                <w:sz w:val="21"/>
                <w:szCs w:val="21"/>
                <w:lang w:eastAsia="zh-CN"/>
              </w:rPr>
              <w:t>胎儿监护仪</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3</w:t>
            </w:r>
          </w:p>
        </w:tc>
        <w:tc>
          <w:tcPr>
            <w:tcW w:w="993" w:type="dxa"/>
            <w:vAlign w:val="center"/>
          </w:tcPr>
          <w:p>
            <w:pPr>
              <w:jc w:val="center"/>
              <w:rPr>
                <w:rFonts w:hint="eastAsia" w:ascii="新宋体" w:hAnsi="新宋体" w:eastAsia="新宋体" w:cs="新宋体"/>
                <w:color w:val="auto"/>
                <w:kern w:val="0"/>
                <w:sz w:val="21"/>
                <w:szCs w:val="21"/>
                <w:lang w:eastAsia="zh-CN"/>
              </w:rPr>
            </w:pPr>
            <w:r>
              <w:rPr>
                <w:rFonts w:hint="eastAsia" w:ascii="新宋体" w:hAnsi="新宋体" w:eastAsia="新宋体" w:cs="新宋体"/>
                <w:color w:val="auto"/>
                <w:kern w:val="0"/>
                <w:sz w:val="21"/>
                <w:szCs w:val="21"/>
                <w:lang w:eastAsia="zh-CN"/>
              </w:rPr>
              <w:t>国产</w:t>
            </w:r>
          </w:p>
        </w:tc>
        <w:tc>
          <w:tcPr>
            <w:tcW w:w="2409" w:type="dxa"/>
            <w:vMerge w:val="continue"/>
            <w:tcBorders/>
            <w:vAlign w:val="center"/>
          </w:tcPr>
          <w:p>
            <w:pPr>
              <w:rPr>
                <w:rFonts w:hint="eastAsia" w:ascii="新宋体" w:hAnsi="新宋体" w:eastAsia="新宋体" w:cs="新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4" w:type="dxa"/>
            <w:vMerge w:val="continue"/>
            <w:tcBorders/>
            <w:vAlign w:val="center"/>
          </w:tcPr>
          <w:p>
            <w:pPr/>
          </w:p>
        </w:tc>
        <w:tc>
          <w:tcPr>
            <w:tcW w:w="3119" w:type="dxa"/>
            <w:vAlign w:val="center"/>
          </w:tcPr>
          <w:p>
            <w:pPr>
              <w:jc w:val="center"/>
              <w:rPr>
                <w:rFonts w:hint="eastAsia"/>
                <w:b w:val="0"/>
                <w:bCs w:val="0"/>
                <w:sz w:val="24"/>
              </w:rPr>
            </w:pPr>
            <w:r>
              <w:rPr>
                <w:rFonts w:hint="eastAsia" w:ascii="新宋体" w:hAnsi="新宋体" w:eastAsia="新宋体" w:cs="新宋体"/>
                <w:b w:val="0"/>
                <w:bCs w:val="0"/>
                <w:color w:val="auto"/>
                <w:sz w:val="21"/>
                <w:szCs w:val="21"/>
                <w:lang w:eastAsia="zh-CN"/>
              </w:rPr>
              <w:t>胎儿监护仪（一拖四）</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1134" w:type="dxa"/>
            <w:vAlign w:val="center"/>
          </w:tcPr>
          <w:p>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16</w:t>
            </w:r>
          </w:p>
        </w:tc>
        <w:tc>
          <w:tcPr>
            <w:tcW w:w="993" w:type="dxa"/>
            <w:vAlign w:val="center"/>
          </w:tcPr>
          <w:p>
            <w:pPr>
              <w:jc w:val="center"/>
              <w:rPr>
                <w:rFonts w:hint="eastAsia" w:ascii="新宋体" w:hAnsi="新宋体" w:eastAsia="新宋体" w:cs="新宋体"/>
                <w:color w:val="auto"/>
                <w:kern w:val="0"/>
                <w:sz w:val="21"/>
                <w:szCs w:val="21"/>
                <w:lang w:eastAsia="zh-CN"/>
              </w:rPr>
            </w:pPr>
            <w:r>
              <w:rPr>
                <w:rFonts w:hint="eastAsia" w:ascii="新宋体" w:hAnsi="新宋体" w:eastAsia="新宋体" w:cs="新宋体"/>
                <w:color w:val="auto"/>
                <w:kern w:val="0"/>
                <w:sz w:val="21"/>
                <w:szCs w:val="21"/>
                <w:lang w:eastAsia="zh-CN"/>
              </w:rPr>
              <w:t>国产</w:t>
            </w:r>
          </w:p>
        </w:tc>
        <w:tc>
          <w:tcPr>
            <w:tcW w:w="2409" w:type="dxa"/>
            <w:vMerge w:val="continue"/>
            <w:tcBorders/>
            <w:vAlign w:val="center"/>
          </w:tcPr>
          <w:p>
            <w:pPr>
              <w:rPr>
                <w:rFonts w:hint="eastAsia" w:ascii="新宋体" w:hAnsi="新宋体" w:eastAsia="新宋体" w:cs="新宋体"/>
                <w:color w:val="auto"/>
                <w:sz w:val="21"/>
                <w:szCs w:val="21"/>
                <w:lang w:eastAsia="zh-CN"/>
              </w:rPr>
            </w:pPr>
          </w:p>
        </w:tc>
      </w:tr>
    </w:tbl>
    <w:p>
      <w:pPr>
        <w:spacing w:line="320" w:lineRule="exact"/>
        <w:ind w:firstLine="525" w:firstLineChars="250"/>
        <w:rPr>
          <w:rFonts w:hint="eastAsia" w:ascii="新宋体" w:hAnsi="新宋体" w:eastAsia="新宋体" w:cs="新宋体"/>
          <w:color w:val="auto"/>
          <w:kern w:val="0"/>
          <w:sz w:val="21"/>
          <w:szCs w:val="21"/>
        </w:rPr>
      </w:pPr>
    </w:p>
    <w:p>
      <w:pPr>
        <w:spacing w:line="320" w:lineRule="exact"/>
        <w:ind w:firstLine="735" w:firstLineChars="35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注：1、具体要求见《招标货物一览表》。</w:t>
      </w:r>
    </w:p>
    <w:p>
      <w:pPr>
        <w:spacing w:line="320" w:lineRule="exact"/>
        <w:ind w:firstLine="738" w:firstLineChars="350"/>
        <w:rPr>
          <w:rFonts w:hint="eastAsia" w:ascii="新宋体" w:hAnsi="新宋体" w:eastAsia="新宋体" w:cs="新宋体"/>
          <w:color w:val="auto"/>
          <w:sz w:val="21"/>
          <w:szCs w:val="21"/>
          <w:highlight w:val="none"/>
        </w:rPr>
      </w:pPr>
      <w:r>
        <w:rPr>
          <w:rFonts w:hint="eastAsia" w:ascii="新宋体" w:hAnsi="新宋体" w:eastAsia="新宋体" w:cs="新宋体"/>
          <w:b/>
          <w:color w:val="auto"/>
          <w:sz w:val="21"/>
          <w:szCs w:val="21"/>
        </w:rPr>
        <w:t xml:space="preserve"> </w:t>
      </w:r>
      <w:r>
        <w:rPr>
          <w:rFonts w:hint="eastAsia" w:ascii="新宋体" w:hAnsi="新宋体" w:eastAsia="新宋体" w:cs="新宋体"/>
          <w:color w:val="auto"/>
          <w:sz w:val="21"/>
          <w:szCs w:val="21"/>
        </w:rPr>
        <w:t xml:space="preserve">   </w:t>
      </w:r>
      <w:r>
        <w:rPr>
          <w:rFonts w:hint="eastAsia" w:ascii="新宋体" w:hAnsi="新宋体" w:eastAsia="新宋体" w:cs="新宋体"/>
          <w:color w:val="auto"/>
          <w:sz w:val="21"/>
          <w:szCs w:val="21"/>
          <w:highlight w:val="none"/>
        </w:rPr>
        <w:t>2、本次采购不接受市场成交均价低于我方预算价超8%以上的设备参与投标（需在商务标中提供自2014年1月1日以来</w:t>
      </w:r>
      <w:r>
        <w:rPr>
          <w:rFonts w:hint="eastAsia" w:ascii="新宋体" w:hAnsi="新宋体" w:eastAsia="新宋体" w:cs="新宋体"/>
          <w:color w:val="auto"/>
          <w:sz w:val="21"/>
          <w:szCs w:val="21"/>
          <w:highlight w:val="none"/>
          <w:lang w:eastAsia="zh-CN"/>
        </w:rPr>
        <w:t>华东地区</w:t>
      </w:r>
      <w:r>
        <w:rPr>
          <w:rFonts w:hint="eastAsia" w:ascii="新宋体" w:hAnsi="新宋体" w:eastAsia="新宋体" w:cs="新宋体"/>
          <w:color w:val="auto"/>
          <w:sz w:val="21"/>
          <w:szCs w:val="21"/>
          <w:highlight w:val="none"/>
        </w:rPr>
        <w:t>同款产品发票和合同复印件至少3份，及使用单位联系人和联系电话备查）。</w:t>
      </w:r>
    </w:p>
    <w:p>
      <w:pPr>
        <w:pStyle w:val="5"/>
        <w:spacing w:line="320" w:lineRule="exact"/>
        <w:ind w:firstLine="422" w:firstLineChars="200"/>
        <w:rPr>
          <w:rFonts w:hint="eastAsia" w:ascii="新宋体" w:hAnsi="新宋体" w:eastAsia="新宋体" w:cs="新宋体"/>
          <w:color w:val="auto"/>
          <w:sz w:val="21"/>
          <w:szCs w:val="21"/>
        </w:rPr>
      </w:pPr>
      <w:r>
        <w:rPr>
          <w:rFonts w:hint="eastAsia" w:ascii="新宋体" w:hAnsi="新宋体" w:eastAsia="新宋体" w:cs="新宋体"/>
          <w:b/>
          <w:color w:val="auto"/>
          <w:sz w:val="21"/>
          <w:szCs w:val="21"/>
        </w:rPr>
        <w:t>3、投标人的资格要求</w:t>
      </w:r>
      <w:r>
        <w:rPr>
          <w:rFonts w:hint="eastAsia" w:ascii="新宋体" w:hAnsi="新宋体" w:eastAsia="新宋体" w:cs="新宋体"/>
          <w:color w:val="auto"/>
          <w:sz w:val="21"/>
          <w:szCs w:val="21"/>
        </w:rPr>
        <w:t>：国内具有独立法人资格，符合《中华人民共和国政府采购法》要求具备的条件，有较强的经济技术实力、良好的信誉和售后服务能力，有该行业国家规定必备资质、资格，并具有医疗器械经营企业许可证、医疗器械注册证、医疗器械产品注册登记表（若是进口设备）、医疗器械生产许可证（若是国产设备）的制造商或其授权的代理商。</w:t>
      </w:r>
    </w:p>
    <w:p>
      <w:pPr>
        <w:pStyle w:val="5"/>
        <w:spacing w:line="360" w:lineRule="exact"/>
        <w:ind w:left="2" w:leftChars="1" w:right="-178" w:firstLine="420" w:firstLineChars="200"/>
        <w:rPr>
          <w:rFonts w:hint="eastAsia" w:ascii="新宋体" w:hAnsi="新宋体" w:eastAsia="新宋体" w:cs="新宋体"/>
          <w:b/>
          <w:color w:val="auto"/>
          <w:sz w:val="21"/>
          <w:szCs w:val="21"/>
        </w:rPr>
      </w:pPr>
      <w:r>
        <w:rPr>
          <w:rFonts w:hint="eastAsia" w:ascii="新宋体" w:hAnsi="新宋体" w:eastAsia="新宋体" w:cs="新宋体"/>
          <w:color w:val="auto"/>
          <w:sz w:val="21"/>
          <w:szCs w:val="21"/>
        </w:rPr>
        <w:t>4、</w:t>
      </w:r>
      <w:r>
        <w:rPr>
          <w:rFonts w:hint="eastAsia" w:ascii="新宋体" w:hAnsi="新宋体" w:eastAsia="新宋体" w:cs="新宋体"/>
          <w:b/>
          <w:color w:val="auto"/>
          <w:sz w:val="21"/>
          <w:szCs w:val="21"/>
        </w:rPr>
        <w:t>报名时间和地点</w:t>
      </w:r>
      <w:r>
        <w:rPr>
          <w:rFonts w:hint="eastAsia" w:ascii="新宋体" w:hAnsi="新宋体" w:eastAsia="新宋体" w:cs="新宋体"/>
          <w:color w:val="auto"/>
          <w:sz w:val="21"/>
          <w:szCs w:val="21"/>
        </w:rPr>
        <w:t>：于2015年1</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lang w:val="en-US" w:eastAsia="zh-CN"/>
        </w:rPr>
        <w:t>6</w:t>
      </w:r>
      <w:r>
        <w:rPr>
          <w:rFonts w:hint="eastAsia" w:ascii="新宋体" w:hAnsi="新宋体" w:eastAsia="新宋体" w:cs="新宋体"/>
          <w:color w:val="auto"/>
          <w:sz w:val="21"/>
          <w:szCs w:val="21"/>
        </w:rPr>
        <w:t>日至2015年1</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lang w:val="en-US" w:eastAsia="zh-CN"/>
        </w:rPr>
        <w:t>8</w:t>
      </w:r>
      <w:r>
        <w:rPr>
          <w:rFonts w:hint="eastAsia" w:ascii="新宋体" w:hAnsi="新宋体" w:eastAsia="新宋体" w:cs="新宋体"/>
          <w:color w:val="auto"/>
          <w:sz w:val="21"/>
          <w:szCs w:val="21"/>
        </w:rPr>
        <w:t>日上午9：00－11：30，下午1：</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0-5：00（节假日除外）到义乌市常春路97号卫生事务管理服务中心一楼招标办公室报名获取招标文件。必须携带①投标单位在“全国企业信用信息公示系统”（网址：http://gsxt.saic.gov.cn/）上的单位详细信息打印件，或单位营业执照副本原件及复印件（</w:t>
      </w:r>
      <w:r>
        <w:rPr>
          <w:rFonts w:hint="eastAsia" w:ascii="新宋体" w:hAnsi="新宋体" w:eastAsia="新宋体" w:cs="新宋体"/>
          <w:color w:val="auto"/>
          <w:sz w:val="21"/>
          <w:szCs w:val="21"/>
          <w:u w:val="single"/>
        </w:rPr>
        <w:t>打印件、复印件均须加盖投标单位公章，下同</w:t>
      </w:r>
      <w:r>
        <w:rPr>
          <w:rFonts w:hint="eastAsia" w:ascii="新宋体" w:hAnsi="新宋体" w:eastAsia="新宋体" w:cs="新宋体"/>
          <w:color w:val="auto"/>
          <w:sz w:val="21"/>
          <w:szCs w:val="21"/>
        </w:rPr>
        <w:t>）②投标单位医疗器械经营企业许可证原件和复印件③所投产品的医疗器械注册证复印件④所投产品的医疗器械产品注册登记表复印件⑤法定代表人授权书（原件，适用于投标方代表为非法定代表人）⑥被授权人身份证</w:t>
      </w:r>
      <w:r>
        <w:rPr>
          <w:rFonts w:hint="eastAsia" w:ascii="新宋体" w:hAnsi="新宋体" w:eastAsia="新宋体" w:cs="新宋体"/>
          <w:color w:val="auto"/>
          <w:sz w:val="21"/>
          <w:szCs w:val="21"/>
          <w:lang w:eastAsia="zh-CN"/>
        </w:rPr>
        <w:t>及复印件</w:t>
      </w:r>
      <w:r>
        <w:rPr>
          <w:rFonts w:hint="eastAsia" w:ascii="新宋体" w:hAnsi="新宋体" w:eastAsia="新宋体" w:cs="新宋体"/>
          <w:color w:val="auto"/>
          <w:sz w:val="21"/>
          <w:szCs w:val="21"/>
        </w:rPr>
        <w:t>；</w:t>
      </w:r>
      <w:r>
        <w:rPr>
          <w:rFonts w:hint="eastAsia" w:ascii="新宋体" w:hAnsi="新宋体" w:eastAsia="新宋体" w:cs="新宋体"/>
          <w:b/>
          <w:color w:val="auto"/>
          <w:sz w:val="21"/>
          <w:szCs w:val="21"/>
        </w:rPr>
        <w:t>（7）前期预报名材料(曾参加预报名者)；（8）投标人认为需要提供的其它材料。</w:t>
      </w:r>
    </w:p>
    <w:p>
      <w:pPr>
        <w:pStyle w:val="5"/>
        <w:spacing w:line="360" w:lineRule="exact"/>
        <w:ind w:firstLine="422" w:firstLineChars="200"/>
        <w:rPr>
          <w:rFonts w:hint="eastAsia" w:ascii="新宋体" w:hAnsi="新宋体" w:eastAsia="新宋体" w:cs="新宋体"/>
          <w:color w:val="auto"/>
          <w:sz w:val="21"/>
          <w:szCs w:val="21"/>
        </w:rPr>
      </w:pPr>
      <w:r>
        <w:rPr>
          <w:rFonts w:hint="eastAsia" w:ascii="新宋体" w:hAnsi="新宋体" w:eastAsia="新宋体" w:cs="新宋体"/>
          <w:b/>
          <w:bCs/>
          <w:color w:val="auto"/>
          <w:sz w:val="21"/>
          <w:szCs w:val="21"/>
        </w:rPr>
        <w:t>（提供的证明文件需在</w:t>
      </w:r>
      <w:r>
        <w:rPr>
          <w:rFonts w:hint="eastAsia" w:ascii="新宋体" w:hAnsi="新宋体" w:eastAsia="新宋体" w:cs="新宋体"/>
          <w:b/>
          <w:bCs/>
          <w:color w:val="auto"/>
          <w:sz w:val="21"/>
          <w:szCs w:val="21"/>
          <w:u w:val="single"/>
        </w:rPr>
        <w:t>有效期内</w:t>
      </w:r>
      <w:r>
        <w:rPr>
          <w:rFonts w:hint="eastAsia" w:ascii="新宋体" w:hAnsi="新宋体" w:eastAsia="新宋体" w:cs="新宋体"/>
          <w:b/>
          <w:bCs/>
          <w:color w:val="auto"/>
          <w:sz w:val="21"/>
          <w:szCs w:val="21"/>
        </w:rPr>
        <w:t>，过期的文件</w:t>
      </w:r>
      <w:r>
        <w:rPr>
          <w:rFonts w:hint="eastAsia" w:ascii="新宋体" w:hAnsi="新宋体" w:eastAsia="新宋体" w:cs="新宋体"/>
          <w:b/>
          <w:bCs/>
          <w:color w:val="auto"/>
          <w:sz w:val="21"/>
          <w:szCs w:val="21"/>
          <w:u w:val="single"/>
        </w:rPr>
        <w:t>无效</w:t>
      </w:r>
      <w:r>
        <w:rPr>
          <w:rFonts w:hint="eastAsia" w:ascii="新宋体" w:hAnsi="新宋体" w:eastAsia="新宋体" w:cs="新宋体"/>
          <w:b/>
          <w:bCs/>
          <w:color w:val="auto"/>
          <w:sz w:val="21"/>
          <w:szCs w:val="21"/>
        </w:rPr>
        <w:t>）</w:t>
      </w:r>
      <w:r>
        <w:rPr>
          <w:rFonts w:hint="eastAsia" w:ascii="新宋体" w:hAnsi="新宋体" w:eastAsia="新宋体" w:cs="新宋体"/>
          <w:color w:val="auto"/>
          <w:sz w:val="21"/>
          <w:szCs w:val="21"/>
        </w:rPr>
        <w:t>。</w:t>
      </w:r>
    </w:p>
    <w:p>
      <w:pPr>
        <w:pStyle w:val="5"/>
        <w:spacing w:line="360" w:lineRule="exact"/>
        <w:ind w:firstLine="46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报名处联系人： 丁先生</w:t>
      </w:r>
      <w:r>
        <w:rPr>
          <w:rFonts w:hint="eastAsia" w:ascii="新宋体" w:hAnsi="新宋体" w:eastAsia="新宋体" w:cs="新宋体"/>
          <w:color w:val="auto"/>
          <w:sz w:val="21"/>
          <w:szCs w:val="21"/>
          <w:lang w:eastAsia="zh-CN"/>
        </w:rPr>
        <w:t>、骆女士</w:t>
      </w:r>
      <w:r>
        <w:rPr>
          <w:rFonts w:hint="eastAsia" w:ascii="新宋体" w:hAnsi="新宋体" w:eastAsia="新宋体" w:cs="新宋体"/>
          <w:color w:val="auto"/>
          <w:sz w:val="21"/>
          <w:szCs w:val="21"/>
        </w:rPr>
        <w:t>0579-85528926 传真0579-85537293</w:t>
      </w:r>
      <w:r>
        <w:rPr>
          <w:rFonts w:hint="eastAsia" w:ascii="新宋体" w:hAnsi="新宋体" w:eastAsia="新宋体" w:cs="新宋体"/>
          <w:color w:val="auto"/>
          <w:spacing w:val="-14"/>
          <w:sz w:val="21"/>
          <w:szCs w:val="21"/>
        </w:rPr>
        <w:t>。</w:t>
      </w:r>
    </w:p>
    <w:p>
      <w:pPr>
        <w:pStyle w:val="5"/>
        <w:spacing w:line="0" w:lineRule="atLeast"/>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w:t>
      </w:r>
      <w:r>
        <w:rPr>
          <w:rFonts w:hint="eastAsia" w:ascii="新宋体" w:hAnsi="新宋体" w:eastAsia="新宋体" w:cs="新宋体"/>
          <w:b/>
          <w:color w:val="auto"/>
          <w:sz w:val="21"/>
          <w:szCs w:val="21"/>
        </w:rPr>
        <w:t>技术答疑</w:t>
      </w:r>
      <w:r>
        <w:rPr>
          <w:rFonts w:hint="eastAsia" w:ascii="新宋体" w:hAnsi="新宋体" w:eastAsia="新宋体" w:cs="新宋体"/>
          <w:color w:val="auto"/>
          <w:sz w:val="21"/>
          <w:szCs w:val="21"/>
        </w:rPr>
        <w:t>：供应商如对本采购公告信息或采购文件有异议或疑问的，应当在</w:t>
      </w:r>
      <w:r>
        <w:rPr>
          <w:rFonts w:hint="eastAsia" w:ascii="新宋体" w:hAnsi="新宋体" w:eastAsia="新宋体" w:cs="新宋体"/>
          <w:b/>
          <w:color w:val="auto"/>
          <w:sz w:val="21"/>
          <w:szCs w:val="21"/>
        </w:rPr>
        <w:t>2015年1</w:t>
      </w:r>
      <w:r>
        <w:rPr>
          <w:rFonts w:hint="eastAsia" w:ascii="新宋体" w:hAnsi="新宋体" w:eastAsia="新宋体" w:cs="新宋体"/>
          <w:b/>
          <w:color w:val="auto"/>
          <w:sz w:val="21"/>
          <w:szCs w:val="21"/>
          <w:lang w:val="en-US" w:eastAsia="zh-CN"/>
        </w:rPr>
        <w:t>1</w:t>
      </w:r>
      <w:r>
        <w:rPr>
          <w:rFonts w:hint="eastAsia" w:ascii="新宋体" w:hAnsi="新宋体" w:eastAsia="新宋体" w:cs="新宋体"/>
          <w:b/>
          <w:color w:val="auto"/>
          <w:sz w:val="21"/>
          <w:szCs w:val="21"/>
        </w:rPr>
        <w:t>月</w:t>
      </w:r>
      <w:r>
        <w:rPr>
          <w:rFonts w:hint="eastAsia" w:ascii="新宋体" w:hAnsi="新宋体" w:eastAsia="新宋体" w:cs="新宋体"/>
          <w:b/>
          <w:color w:val="auto"/>
          <w:sz w:val="21"/>
          <w:szCs w:val="21"/>
          <w:lang w:val="en-US" w:eastAsia="zh-CN"/>
        </w:rPr>
        <w:t>8</w:t>
      </w:r>
      <w:r>
        <w:rPr>
          <w:rFonts w:hint="eastAsia" w:ascii="新宋体" w:hAnsi="新宋体" w:eastAsia="新宋体" w:cs="新宋体"/>
          <w:b/>
          <w:color w:val="auto"/>
          <w:sz w:val="21"/>
          <w:szCs w:val="21"/>
        </w:rPr>
        <w:t>日</w:t>
      </w:r>
      <w:r>
        <w:rPr>
          <w:rFonts w:hint="eastAsia" w:ascii="新宋体" w:hAnsi="新宋体" w:eastAsia="新宋体" w:cs="新宋体"/>
          <w:color w:val="auto"/>
          <w:sz w:val="21"/>
          <w:szCs w:val="21"/>
        </w:rPr>
        <w:t>下午17时之前提出，否则，招标方可不予接受。</w:t>
      </w:r>
    </w:p>
    <w:p>
      <w:pPr>
        <w:adjustRightInd w:val="0"/>
        <w:snapToGrid w:val="0"/>
        <w:spacing w:line="0" w:lineRule="atLeast"/>
        <w:ind w:firstLine="420" w:firstLineChars="20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质疑以书面方式分别提交至义乌市卫计委委规财科杨先生（0579-85258133）、卫生事务管理服务中心方先生（0579—85258134）。</w:t>
      </w:r>
    </w:p>
    <w:p>
      <w:pPr>
        <w:pStyle w:val="5"/>
        <w:spacing w:line="0" w:lineRule="atLeast"/>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w:t>
      </w:r>
      <w:r>
        <w:rPr>
          <w:rFonts w:hint="eastAsia" w:ascii="新宋体" w:hAnsi="新宋体" w:eastAsia="新宋体" w:cs="新宋体"/>
          <w:b/>
          <w:color w:val="auto"/>
          <w:sz w:val="21"/>
          <w:szCs w:val="21"/>
        </w:rPr>
        <w:t>投标截止及开标时间</w:t>
      </w:r>
      <w:r>
        <w:rPr>
          <w:rFonts w:hint="eastAsia" w:ascii="新宋体" w:hAnsi="新宋体" w:eastAsia="新宋体" w:cs="新宋体"/>
          <w:color w:val="auto"/>
          <w:sz w:val="21"/>
          <w:szCs w:val="21"/>
        </w:rPr>
        <w:t>：</w:t>
      </w:r>
      <w:r>
        <w:rPr>
          <w:rFonts w:hint="eastAsia" w:ascii="新宋体" w:hAnsi="新宋体" w:eastAsia="新宋体" w:cs="新宋体"/>
          <w:b/>
          <w:color w:val="auto"/>
          <w:sz w:val="21"/>
          <w:szCs w:val="21"/>
          <w:u w:val="single"/>
        </w:rPr>
        <w:t>2015年1</w:t>
      </w:r>
      <w:r>
        <w:rPr>
          <w:rFonts w:hint="eastAsia" w:ascii="新宋体" w:hAnsi="新宋体" w:eastAsia="新宋体" w:cs="新宋体"/>
          <w:b/>
          <w:color w:val="auto"/>
          <w:sz w:val="21"/>
          <w:szCs w:val="21"/>
          <w:u w:val="single"/>
          <w:lang w:val="en-US" w:eastAsia="zh-CN"/>
        </w:rPr>
        <w:t>1</w:t>
      </w:r>
      <w:r>
        <w:rPr>
          <w:rFonts w:hint="eastAsia" w:ascii="新宋体" w:hAnsi="新宋体" w:eastAsia="新宋体" w:cs="新宋体"/>
          <w:b/>
          <w:color w:val="auto"/>
          <w:sz w:val="21"/>
          <w:szCs w:val="21"/>
          <w:u w:val="single"/>
        </w:rPr>
        <w:t>月</w:t>
      </w:r>
      <w:r>
        <w:rPr>
          <w:rFonts w:hint="eastAsia" w:ascii="新宋体" w:hAnsi="新宋体" w:eastAsia="新宋体" w:cs="新宋体"/>
          <w:b/>
          <w:color w:val="auto"/>
          <w:sz w:val="21"/>
          <w:szCs w:val="21"/>
          <w:u w:val="single"/>
          <w:lang w:val="en-US" w:eastAsia="zh-CN"/>
        </w:rPr>
        <w:t>9</w:t>
      </w:r>
      <w:r>
        <w:rPr>
          <w:rFonts w:hint="eastAsia" w:ascii="新宋体" w:hAnsi="新宋体" w:eastAsia="新宋体" w:cs="新宋体"/>
          <w:b/>
          <w:color w:val="auto"/>
          <w:sz w:val="21"/>
          <w:szCs w:val="21"/>
          <w:u w:val="single"/>
        </w:rPr>
        <w:t>日</w:t>
      </w:r>
      <w:r>
        <w:rPr>
          <w:rFonts w:hint="eastAsia" w:ascii="新宋体" w:hAnsi="新宋体" w:eastAsia="新宋体" w:cs="新宋体"/>
          <w:b/>
          <w:color w:val="auto"/>
          <w:sz w:val="21"/>
          <w:szCs w:val="21"/>
          <w:u w:val="single"/>
          <w:lang w:eastAsia="zh-CN"/>
        </w:rPr>
        <w:t>下</w:t>
      </w:r>
      <w:r>
        <w:rPr>
          <w:rFonts w:hint="eastAsia" w:ascii="新宋体" w:hAnsi="新宋体" w:eastAsia="新宋体" w:cs="新宋体"/>
          <w:color w:val="auto"/>
          <w:sz w:val="21"/>
          <w:szCs w:val="21"/>
          <w:u w:val="single"/>
        </w:rPr>
        <w:t>午</w:t>
      </w:r>
      <w:r>
        <w:rPr>
          <w:rFonts w:hint="eastAsia" w:ascii="新宋体" w:hAnsi="新宋体" w:eastAsia="新宋体" w:cs="新宋体"/>
          <w:color w:val="auto"/>
          <w:sz w:val="21"/>
          <w:szCs w:val="21"/>
          <w:u w:val="single"/>
          <w:lang w:val="en-US" w:eastAsia="zh-CN"/>
        </w:rPr>
        <w:t>2</w:t>
      </w:r>
      <w:r>
        <w:rPr>
          <w:rFonts w:hint="eastAsia" w:ascii="新宋体" w:hAnsi="新宋体" w:eastAsia="新宋体" w:cs="新宋体"/>
          <w:color w:val="auto"/>
          <w:sz w:val="21"/>
          <w:szCs w:val="21"/>
          <w:u w:val="single"/>
        </w:rPr>
        <w:t>：00时</w:t>
      </w:r>
      <w:r>
        <w:rPr>
          <w:rFonts w:hint="eastAsia" w:ascii="新宋体" w:hAnsi="新宋体" w:eastAsia="新宋体" w:cs="新宋体"/>
          <w:color w:val="auto"/>
          <w:sz w:val="21"/>
          <w:szCs w:val="21"/>
        </w:rPr>
        <w:t>。</w:t>
      </w:r>
    </w:p>
    <w:p>
      <w:pPr>
        <w:pStyle w:val="5"/>
        <w:spacing w:line="0" w:lineRule="atLeast"/>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7、</w:t>
      </w:r>
      <w:r>
        <w:rPr>
          <w:rFonts w:hint="eastAsia" w:ascii="新宋体" w:hAnsi="新宋体" w:eastAsia="新宋体" w:cs="新宋体"/>
          <w:b/>
          <w:bCs/>
          <w:color w:val="auto"/>
          <w:sz w:val="21"/>
          <w:szCs w:val="21"/>
        </w:rPr>
        <w:t>谈判采购地点</w:t>
      </w:r>
      <w:r>
        <w:rPr>
          <w:rFonts w:hint="eastAsia" w:ascii="新宋体" w:hAnsi="新宋体" w:eastAsia="新宋体" w:cs="新宋体"/>
          <w:color w:val="auto"/>
          <w:sz w:val="21"/>
          <w:szCs w:val="21"/>
        </w:rPr>
        <w:t>：义乌市疾控中心五楼。</w:t>
      </w:r>
    </w:p>
    <w:p>
      <w:pPr>
        <w:pStyle w:val="5"/>
        <w:spacing w:line="360" w:lineRule="exact"/>
        <w:ind w:firstLine="480"/>
        <w:rPr>
          <w:rFonts w:hint="eastAsia" w:ascii="新宋体" w:hAnsi="新宋体" w:eastAsia="新宋体" w:cs="新宋体"/>
          <w:b/>
          <w:color w:val="auto"/>
          <w:sz w:val="21"/>
          <w:szCs w:val="21"/>
          <w:u w:val="single"/>
        </w:rPr>
      </w:pPr>
      <w:r>
        <w:rPr>
          <w:rFonts w:hint="eastAsia" w:ascii="新宋体" w:hAnsi="新宋体" w:eastAsia="新宋体" w:cs="新宋体"/>
          <w:b/>
          <w:bCs/>
          <w:color w:val="auto"/>
          <w:sz w:val="21"/>
          <w:szCs w:val="21"/>
          <w:u w:val="single"/>
        </w:rPr>
        <w:t>请供应商于</w:t>
      </w:r>
      <w:r>
        <w:rPr>
          <w:rFonts w:hint="eastAsia" w:ascii="新宋体" w:hAnsi="新宋体" w:eastAsia="新宋体" w:cs="新宋体"/>
          <w:b/>
          <w:color w:val="auto"/>
          <w:sz w:val="21"/>
          <w:szCs w:val="21"/>
          <w:u w:val="single"/>
        </w:rPr>
        <w:t>2015年1</w:t>
      </w:r>
      <w:r>
        <w:rPr>
          <w:rFonts w:hint="eastAsia" w:ascii="新宋体" w:hAnsi="新宋体" w:eastAsia="新宋体" w:cs="新宋体"/>
          <w:b/>
          <w:color w:val="auto"/>
          <w:sz w:val="21"/>
          <w:szCs w:val="21"/>
          <w:u w:val="single"/>
          <w:lang w:val="en-US" w:eastAsia="zh-CN"/>
        </w:rPr>
        <w:t>1</w:t>
      </w:r>
      <w:r>
        <w:rPr>
          <w:rFonts w:hint="eastAsia" w:ascii="新宋体" w:hAnsi="新宋体" w:eastAsia="新宋体" w:cs="新宋体"/>
          <w:b/>
          <w:color w:val="auto"/>
          <w:sz w:val="21"/>
          <w:szCs w:val="21"/>
          <w:u w:val="single"/>
        </w:rPr>
        <w:t>月</w:t>
      </w:r>
      <w:r>
        <w:rPr>
          <w:rFonts w:hint="eastAsia" w:ascii="新宋体" w:hAnsi="新宋体" w:eastAsia="新宋体" w:cs="新宋体"/>
          <w:b/>
          <w:color w:val="auto"/>
          <w:sz w:val="21"/>
          <w:szCs w:val="21"/>
          <w:u w:val="single"/>
          <w:lang w:val="en-US" w:eastAsia="zh-CN"/>
        </w:rPr>
        <w:t>9</w:t>
      </w:r>
      <w:r>
        <w:rPr>
          <w:rFonts w:hint="eastAsia" w:ascii="新宋体" w:hAnsi="新宋体" w:eastAsia="新宋体" w:cs="新宋体"/>
          <w:b/>
          <w:color w:val="auto"/>
          <w:sz w:val="21"/>
          <w:szCs w:val="21"/>
          <w:u w:val="single"/>
        </w:rPr>
        <w:t>日</w:t>
      </w:r>
      <w:r>
        <w:rPr>
          <w:rFonts w:hint="eastAsia" w:ascii="新宋体" w:hAnsi="新宋体" w:eastAsia="新宋体" w:cs="新宋体"/>
          <w:b/>
          <w:color w:val="auto"/>
          <w:sz w:val="21"/>
          <w:szCs w:val="21"/>
          <w:u w:val="single"/>
          <w:lang w:eastAsia="zh-CN"/>
        </w:rPr>
        <w:t>下</w:t>
      </w:r>
      <w:r>
        <w:rPr>
          <w:rFonts w:hint="eastAsia" w:ascii="新宋体" w:hAnsi="新宋体" w:eastAsia="新宋体" w:cs="新宋体"/>
          <w:b/>
          <w:bCs/>
          <w:color w:val="auto"/>
          <w:sz w:val="21"/>
          <w:szCs w:val="21"/>
          <w:u w:val="single"/>
        </w:rPr>
        <w:t>午</w:t>
      </w:r>
      <w:r>
        <w:rPr>
          <w:rFonts w:hint="eastAsia" w:ascii="新宋体" w:hAnsi="新宋体" w:eastAsia="新宋体" w:cs="新宋体"/>
          <w:b/>
          <w:bCs/>
          <w:color w:val="auto"/>
          <w:sz w:val="21"/>
          <w:szCs w:val="21"/>
          <w:u w:val="single"/>
          <w:lang w:val="en-US" w:eastAsia="zh-CN"/>
        </w:rPr>
        <w:t>2</w:t>
      </w:r>
      <w:r>
        <w:rPr>
          <w:rFonts w:hint="eastAsia" w:ascii="新宋体" w:hAnsi="新宋体" w:eastAsia="新宋体" w:cs="新宋体"/>
          <w:b/>
          <w:bCs/>
          <w:color w:val="auto"/>
          <w:sz w:val="21"/>
          <w:szCs w:val="21"/>
          <w:u w:val="single"/>
        </w:rPr>
        <w:t>：00之前，将投标书送至卫生事务管理服务中心窗口，投标截止期后递交的投标文件一律不予接受。</w:t>
      </w:r>
    </w:p>
    <w:p>
      <w:pPr>
        <w:pStyle w:val="5"/>
        <w:spacing w:line="360" w:lineRule="exact"/>
        <w:ind w:firstLine="480"/>
        <w:rPr>
          <w:rFonts w:hint="eastAsia" w:ascii="新宋体" w:hAnsi="新宋体" w:eastAsia="新宋体" w:cs="新宋体"/>
          <w:b/>
          <w:color w:val="auto"/>
          <w:sz w:val="21"/>
          <w:szCs w:val="21"/>
        </w:rPr>
      </w:pPr>
      <w:r>
        <w:rPr>
          <w:rFonts w:hint="eastAsia" w:ascii="新宋体" w:hAnsi="新宋体" w:eastAsia="新宋体" w:cs="新宋体"/>
          <w:color w:val="auto"/>
          <w:sz w:val="21"/>
          <w:szCs w:val="21"/>
        </w:rPr>
        <w:t>8、</w:t>
      </w:r>
      <w:r>
        <w:rPr>
          <w:rFonts w:hint="eastAsia" w:ascii="新宋体" w:hAnsi="新宋体" w:eastAsia="新宋体" w:cs="新宋体"/>
          <w:b/>
          <w:color w:val="auto"/>
          <w:sz w:val="21"/>
          <w:szCs w:val="21"/>
        </w:rPr>
        <w:t>举报电话：义乌市卫计委监察室王女士，0579-85410850</w:t>
      </w:r>
    </w:p>
    <w:p>
      <w:pPr>
        <w:pStyle w:val="5"/>
        <w:spacing w:line="360" w:lineRule="exac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 xml:space="preserve">                                                                            义乌市卫计委</w:t>
      </w:r>
    </w:p>
    <w:p>
      <w:pPr>
        <w:pStyle w:val="5"/>
        <w:spacing w:line="360" w:lineRule="exact"/>
        <w:ind w:firstLine="480"/>
        <w:jc w:val="righ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卫生事务管理服务中心</w:t>
      </w:r>
    </w:p>
    <w:p>
      <w:pPr>
        <w:pStyle w:val="5"/>
        <w:spacing w:line="360" w:lineRule="exact"/>
        <w:ind w:firstLine="480"/>
        <w:jc w:val="righ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二0一五年十</w:t>
      </w:r>
      <w:r>
        <w:rPr>
          <w:rFonts w:hint="eastAsia" w:ascii="新宋体" w:hAnsi="新宋体" w:eastAsia="新宋体" w:cs="新宋体"/>
          <w:color w:val="auto"/>
          <w:sz w:val="21"/>
          <w:szCs w:val="21"/>
          <w:lang w:eastAsia="zh-CN"/>
        </w:rPr>
        <w:t>一</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lang w:eastAsia="zh-CN"/>
        </w:rPr>
        <w:t>五</w:t>
      </w:r>
      <w:r>
        <w:rPr>
          <w:rFonts w:hint="eastAsia" w:ascii="新宋体" w:hAnsi="新宋体" w:eastAsia="新宋体" w:cs="新宋体"/>
          <w:color w:val="auto"/>
          <w:sz w:val="21"/>
          <w:szCs w:val="21"/>
        </w:rPr>
        <w:t>日</w:t>
      </w:r>
    </w:p>
    <w:p>
      <w:pPr>
        <w:spacing w:line="320" w:lineRule="atLeast"/>
        <w:jc w:val="both"/>
        <w:rPr>
          <w:rFonts w:hint="eastAsia" w:ascii="新宋体" w:hAnsi="新宋体" w:eastAsia="新宋体" w:cs="新宋体"/>
          <w:b/>
          <w:color w:val="000000"/>
          <w:sz w:val="36"/>
        </w:rPr>
      </w:pPr>
      <w:r>
        <w:rPr>
          <w:rFonts w:hint="eastAsia" w:ascii="新宋体" w:hAnsi="新宋体" w:eastAsia="新宋体" w:cs="新宋体"/>
          <w:color w:val="auto"/>
          <w:sz w:val="21"/>
          <w:szCs w:val="21"/>
        </w:rPr>
        <w:br w:type="page"/>
      </w:r>
      <w:r>
        <w:rPr>
          <w:rFonts w:hint="eastAsia" w:ascii="新宋体" w:hAnsi="新宋体" w:eastAsia="新宋体" w:cs="新宋体"/>
          <w:color w:val="000000"/>
          <w:lang w:val="en-US" w:eastAsia="zh-CN"/>
        </w:rPr>
        <w:t xml:space="preserve">                            </w:t>
      </w:r>
      <w:r>
        <w:rPr>
          <w:rFonts w:hint="eastAsia" w:ascii="新宋体" w:hAnsi="新宋体" w:eastAsia="新宋体" w:cs="新宋体"/>
          <w:b/>
          <w:color w:val="000000"/>
          <w:sz w:val="36"/>
        </w:rPr>
        <w:t>第二章、</w:t>
      </w:r>
      <w:r>
        <w:rPr>
          <w:rFonts w:hint="eastAsia" w:ascii="新宋体" w:hAnsi="新宋体" w:eastAsia="新宋体" w:cs="新宋体"/>
          <w:b/>
          <w:bCs/>
          <w:color w:val="000000"/>
          <w:sz w:val="36"/>
        </w:rPr>
        <w:t>投标方须知</w:t>
      </w:r>
    </w:p>
    <w:p>
      <w:pPr>
        <w:spacing w:line="360" w:lineRule="exact"/>
        <w:rPr>
          <w:rFonts w:hint="eastAsia" w:ascii="新宋体" w:hAnsi="新宋体" w:eastAsia="新宋体" w:cs="新宋体"/>
          <w:b/>
          <w:bCs/>
          <w:color w:val="000000"/>
          <w:szCs w:val="21"/>
        </w:rPr>
      </w:pPr>
      <w:r>
        <w:rPr>
          <w:rFonts w:hint="eastAsia" w:ascii="新宋体" w:hAnsi="新宋体" w:eastAsia="新宋体" w:cs="新宋体"/>
          <w:b/>
          <w:bCs/>
          <w:color w:val="000000"/>
          <w:szCs w:val="21"/>
        </w:rPr>
        <w:t>一、说明</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1、适用范围</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1.1 本招标文件仅适用于本次招标采购所叙述的货物和服务项目。</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2、定义</w:t>
      </w:r>
    </w:p>
    <w:p>
      <w:pPr>
        <w:pStyle w:val="3"/>
        <w:spacing w:line="360" w:lineRule="exact"/>
        <w:ind w:firstLine="359" w:firstLineChars="171"/>
        <w:rPr>
          <w:rFonts w:hint="eastAsia" w:ascii="新宋体" w:hAnsi="新宋体" w:eastAsia="新宋体" w:cs="新宋体"/>
          <w:color w:val="FF0000"/>
          <w:sz w:val="21"/>
          <w:szCs w:val="21"/>
        </w:rPr>
      </w:pPr>
      <w:r>
        <w:rPr>
          <w:rFonts w:hint="eastAsia" w:ascii="新宋体" w:hAnsi="新宋体" w:eastAsia="新宋体" w:cs="新宋体"/>
          <w:color w:val="000000"/>
          <w:sz w:val="21"/>
          <w:szCs w:val="21"/>
        </w:rPr>
        <w:t>2.1“招标方”系指组织本次招标的义乌市卫计委和卫生事务管理服务中心。“采购人”为卫生事务管理服务中心</w:t>
      </w:r>
      <w:r>
        <w:rPr>
          <w:rFonts w:hint="eastAsia" w:ascii="新宋体" w:hAnsi="新宋体" w:eastAsia="新宋体" w:cs="新宋体"/>
          <w:color w:val="FF0000"/>
          <w:sz w:val="21"/>
          <w:szCs w:val="21"/>
        </w:rPr>
        <w:t>。</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2.2“投标方（人）”系指向招标方提交投标文件的供应商。</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2.3“货物”系指供方按招标文件规定须向需方提供的一切设备、机械、仪器仪表、备品备件、工具、手册及其它有关技术资料和文字材料。</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2.4“服务”系指招标文件规定供方须承担的运输、技术支持、培训、维修保养及其它类似的服务。</w:t>
      </w:r>
    </w:p>
    <w:p>
      <w:pPr>
        <w:pStyle w:val="3"/>
        <w:spacing w:line="360" w:lineRule="exact"/>
        <w:ind w:left="315" w:leftChars="150" w:firstLine="44" w:firstLineChars="2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2.5“【*】”</w:t>
      </w:r>
      <w:r>
        <w:rPr>
          <w:rFonts w:hint="eastAsia" w:ascii="新宋体" w:hAnsi="新宋体" w:eastAsia="新宋体" w:cs="新宋体"/>
          <w:b/>
          <w:bCs/>
          <w:color w:val="000000"/>
          <w:sz w:val="21"/>
          <w:szCs w:val="21"/>
        </w:rPr>
        <w:t>标记的文字系指必须满足不能负偏离或必须应答的条款。</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3、合格的投标方</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3.1 具有独立承担民事责任的能力。</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3.2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3.3 该行业国家规定必备的资质、资格。 </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3.4《招标文件》中所要求其他条件。</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4、投标费用</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4.1不论投标过程中的作法和结果如何，投标方应承担所有与投标有关的全部费用。招标方在任何情况下均无义务和责任承担上述这些费用。</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5、特别说明</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5.1投标人可根据自身企业的条件参加投标，并提交相应的投标保证金。</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二、谈判文件</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6、招标文件的组成</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6.1招标文件除本《招标文件》内容外，招标方在招标期间发出的质疑回答、补遗书和其他正式有效函件，均构成招标文件的组成部分。</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6.2 投标方应认真对照阅读招标文件中所有的事项、格式、条款和技术规范等。投标方没有按照招标文件要求提交全部资料，或者投标方没有对招标文件在各方面都做出实质性响应是投标方的风险，并可能导致其投标被拒绝。</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7、谈判文件的解释</w:t>
      </w:r>
    </w:p>
    <w:p>
      <w:pPr>
        <w:pStyle w:val="5"/>
        <w:spacing w:line="360" w:lineRule="exact"/>
        <w:ind w:firstLine="480"/>
        <w:jc w:val="left"/>
        <w:rPr>
          <w:rFonts w:hint="eastAsia" w:ascii="新宋体" w:hAnsi="新宋体" w:eastAsia="新宋体" w:cs="新宋体"/>
          <w:color w:val="auto"/>
        </w:rPr>
      </w:pPr>
      <w:r>
        <w:rPr>
          <w:rFonts w:hint="eastAsia" w:ascii="新宋体" w:hAnsi="新宋体" w:eastAsia="新宋体" w:cs="新宋体"/>
          <w:color w:val="auto"/>
          <w:szCs w:val="21"/>
        </w:rPr>
        <w:t>7.1 投标方在收到招标文件后，若有问题需要澄清，应于收到招标文件后以书面形式（包括书面文字、电传、传真、电报等，下同）在2015年1</w:t>
      </w:r>
      <w:r>
        <w:rPr>
          <w:rFonts w:hint="eastAsia" w:ascii="新宋体" w:hAnsi="新宋体" w:eastAsia="新宋体" w:cs="新宋体"/>
          <w:color w:val="auto"/>
          <w:szCs w:val="21"/>
          <w:lang w:val="en-US" w:eastAsia="zh-CN"/>
        </w:rPr>
        <w:t>1</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8</w:t>
      </w:r>
      <w:r>
        <w:rPr>
          <w:rFonts w:hint="eastAsia" w:ascii="新宋体" w:hAnsi="新宋体" w:eastAsia="新宋体" w:cs="新宋体"/>
          <w:color w:val="auto"/>
          <w:szCs w:val="21"/>
        </w:rPr>
        <w:t>日17：00之前向义乌市卫计委委规财科和</w:t>
      </w:r>
      <w:r>
        <w:rPr>
          <w:rFonts w:hint="eastAsia" w:ascii="新宋体" w:hAnsi="新宋体" w:eastAsia="新宋体" w:cs="新宋体"/>
          <w:color w:val="auto"/>
        </w:rPr>
        <w:t>卫生事务管理服务中心。</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auto"/>
          <w:sz w:val="21"/>
          <w:szCs w:val="21"/>
        </w:rPr>
        <w:t>7.2 对于招标文件中的内容，在规定的时间内没有提出异议的或者没有异议部分,视为同意和认可招标</w:t>
      </w:r>
      <w:r>
        <w:rPr>
          <w:rFonts w:hint="eastAsia" w:ascii="新宋体" w:hAnsi="新宋体" w:eastAsia="新宋体" w:cs="新宋体"/>
          <w:color w:val="000000"/>
          <w:sz w:val="21"/>
          <w:szCs w:val="21"/>
        </w:rPr>
        <w:t>文件中的规定。</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8、谈判文件的修改</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8.1 在投标截止时间前，招标方有权修改招标文件。招标方可主动地或在解答投标方提出的澄清问题时对招标文件进行修改。</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8.2 招标文件的修改将以书面形式通知所有购买招标文件的投标方，并对其具有约束力。投标方在收到上述通知后，应立即向招标方回函确认。</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8.3 为使投标方准备投标时有充分时间对招标文件的修改部分进行研究，招标方可在投标截止前通知投标方，适当延长投标截止期。</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8.4 招标文件的澄清、答疑、修改、补充文件是招标文件的组成部分，投标方须按照招标文件的澄清、答疑、修改、补充文件的要求参与投标，投标方没有做出实质性响应是投标方的风险，并可能导致其投标被拒绝。</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8.5 投标人应在收到招标项目的澄清、答疑、修改、补充文件后一天内，以书面或者传真（签署意见并加盖投标单位公章）向采购方回函确认，逾期未回复的，视为默认接受。</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三、投标文件</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9、投标文件的语言、计量及货币</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9.1 投标及投标方与采购有关的来往通知、函件和文件均应使用中文编写。</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9.2 除在技术规格中另有规定外，计量单位应使用公制单位。</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9.3 投标货币为人民币：元。</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10、对投标文件的要求</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10.1 投标方应仔细阅读招标文件的所有内容，按招标文件的要求提供投标文件，并保证所提供的全部资料的真实性，以使其投标对招标文件做出实质性响应，否则，其投标可能被拒绝。</w:t>
      </w:r>
    </w:p>
    <w:p>
      <w:pPr>
        <w:pStyle w:val="3"/>
        <w:spacing w:line="360" w:lineRule="exact"/>
        <w:ind w:firstLine="360" w:firstLineChars="171"/>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10.2 在招标文件对货物技术要求中，投标方必须充分答应满足用户的强制性的需求，如“【*】”等，否则将导致废标。</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11、投标文件的组成</w:t>
      </w:r>
    </w:p>
    <w:p>
      <w:pPr>
        <w:pStyle w:val="3"/>
        <w:spacing w:line="360" w:lineRule="exact"/>
        <w:ind w:firstLine="359" w:firstLineChars="17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11.1 投标文件由技术标和商务标组成。技术标是对参投货物技术规范的描述和参投单位资格的描述，并包含资格、资信和服务等内容。</w:t>
      </w:r>
    </w:p>
    <w:p>
      <w:pPr>
        <w:pStyle w:val="3"/>
        <w:spacing w:line="360" w:lineRule="exact"/>
        <w:ind w:firstLine="360" w:firstLineChars="171"/>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11.2 递交的投标文件应分为技术标</w:t>
      </w:r>
      <w:r>
        <w:rPr>
          <w:rFonts w:hint="eastAsia" w:ascii="新宋体" w:hAnsi="新宋体" w:eastAsia="新宋体" w:cs="新宋体"/>
          <w:b/>
          <w:color w:val="auto"/>
          <w:sz w:val="21"/>
          <w:szCs w:val="21"/>
          <w:highlight w:val="none"/>
          <w:lang w:eastAsia="zh-CN"/>
        </w:rPr>
        <w:t>和</w:t>
      </w:r>
      <w:r>
        <w:rPr>
          <w:rFonts w:hint="eastAsia" w:ascii="新宋体" w:hAnsi="新宋体" w:eastAsia="新宋体" w:cs="新宋体"/>
          <w:b/>
          <w:color w:val="auto"/>
          <w:sz w:val="21"/>
          <w:szCs w:val="21"/>
          <w:highlight w:val="none"/>
        </w:rPr>
        <w:t>商务标，技术标为除主要采购设备商务报价及价格组成外的所有内容，且</w:t>
      </w:r>
      <w:r>
        <w:rPr>
          <w:rFonts w:hint="eastAsia" w:ascii="新宋体" w:hAnsi="新宋体" w:eastAsia="新宋体" w:cs="新宋体"/>
          <w:b/>
          <w:color w:val="auto"/>
          <w:sz w:val="21"/>
          <w:szCs w:val="21"/>
          <w:highlight w:val="none"/>
          <w:u w:val="single"/>
        </w:rPr>
        <w:t>技术标、商务标分开密封</w:t>
      </w:r>
      <w:r>
        <w:rPr>
          <w:rFonts w:hint="eastAsia" w:ascii="新宋体" w:hAnsi="新宋体" w:eastAsia="新宋体" w:cs="新宋体"/>
          <w:b/>
          <w:color w:val="auto"/>
          <w:sz w:val="21"/>
          <w:szCs w:val="21"/>
          <w:highlight w:val="none"/>
        </w:rPr>
        <w:t>。技术标（含资信与服务）不得含商务报价，否则作废标处理。【*】</w:t>
      </w:r>
    </w:p>
    <w:p>
      <w:pPr>
        <w:pStyle w:val="3"/>
        <w:spacing w:line="360" w:lineRule="exact"/>
        <w:ind w:left="899" w:leftChars="171" w:hanging="540" w:hangingChars="257"/>
        <w:rPr>
          <w:rFonts w:hint="eastAsia" w:ascii="新宋体" w:hAnsi="新宋体" w:eastAsia="新宋体" w:cs="新宋体"/>
          <w:sz w:val="21"/>
          <w:szCs w:val="21"/>
        </w:rPr>
      </w:pPr>
      <w:r>
        <w:rPr>
          <w:rFonts w:hint="eastAsia" w:ascii="新宋体" w:hAnsi="新宋体" w:eastAsia="新宋体" w:cs="新宋体"/>
          <w:sz w:val="21"/>
          <w:szCs w:val="21"/>
        </w:rPr>
        <w:t>11.3 技术标的组成</w:t>
      </w:r>
      <w:r>
        <w:rPr>
          <w:rFonts w:hint="eastAsia" w:ascii="新宋体" w:hAnsi="新宋体" w:eastAsia="新宋体" w:cs="新宋体"/>
          <w:b/>
          <w:bCs/>
          <w:sz w:val="21"/>
        </w:rPr>
        <w:t>(</w:t>
      </w:r>
      <w:r>
        <w:rPr>
          <w:rFonts w:hint="eastAsia" w:ascii="新宋体" w:hAnsi="新宋体" w:eastAsia="新宋体" w:cs="新宋体"/>
          <w:b/>
          <w:bCs/>
          <w:sz w:val="21"/>
          <w:u w:val="single"/>
        </w:rPr>
        <w:t>建议在投标文件中拟定目录</w:t>
      </w:r>
      <w:r>
        <w:rPr>
          <w:rFonts w:hint="eastAsia" w:ascii="新宋体" w:hAnsi="新宋体" w:eastAsia="新宋体" w:cs="新宋体"/>
          <w:b/>
          <w:bCs/>
          <w:sz w:val="21"/>
        </w:rPr>
        <w:t>)</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sz w:val="21"/>
          <w:szCs w:val="21"/>
        </w:rPr>
        <w:t>11.3.1 投标方资格、资信合格性的有关证明及资料</w:t>
      </w:r>
      <w:r>
        <w:rPr>
          <w:rFonts w:hint="eastAsia" w:ascii="新宋体" w:hAnsi="新宋体" w:eastAsia="新宋体" w:cs="新宋体"/>
          <w:b/>
          <w:bCs/>
          <w:sz w:val="21"/>
        </w:rPr>
        <w:t>（提供的证明文件需在</w:t>
      </w:r>
      <w:r>
        <w:rPr>
          <w:rFonts w:hint="eastAsia" w:ascii="新宋体" w:hAnsi="新宋体" w:eastAsia="新宋体" w:cs="新宋体"/>
          <w:b/>
          <w:bCs/>
          <w:sz w:val="21"/>
          <w:u w:val="single"/>
        </w:rPr>
        <w:t>有效期内</w:t>
      </w:r>
      <w:r>
        <w:rPr>
          <w:rFonts w:hint="eastAsia" w:ascii="新宋体" w:hAnsi="新宋体" w:eastAsia="新宋体" w:cs="新宋体"/>
          <w:b/>
          <w:bCs/>
          <w:sz w:val="21"/>
        </w:rPr>
        <w:t>，过期的文件</w:t>
      </w:r>
      <w:r>
        <w:rPr>
          <w:rFonts w:hint="eastAsia" w:ascii="新宋体" w:hAnsi="新宋体" w:eastAsia="新宋体" w:cs="新宋体"/>
          <w:b/>
          <w:bCs/>
          <w:sz w:val="21"/>
          <w:u w:val="single"/>
        </w:rPr>
        <w:t>无效</w:t>
      </w:r>
      <w:r>
        <w:rPr>
          <w:rFonts w:hint="eastAsia" w:ascii="新宋体" w:hAnsi="新宋体" w:eastAsia="新宋体" w:cs="新宋体"/>
          <w:b/>
          <w:bCs/>
          <w:sz w:val="21"/>
        </w:rPr>
        <w:t>）</w:t>
      </w:r>
      <w:r>
        <w:rPr>
          <w:rFonts w:hint="eastAsia" w:ascii="新宋体" w:hAnsi="新宋体" w:eastAsia="新宋体" w:cs="新宋体"/>
          <w:sz w:val="21"/>
          <w:szCs w:val="21"/>
        </w:rPr>
        <w:t>：投标人应提交证明其有资格参加投标和中标后有能力</w:t>
      </w:r>
      <w:r>
        <w:rPr>
          <w:rFonts w:hint="eastAsia" w:ascii="新宋体" w:hAnsi="新宋体" w:eastAsia="新宋体" w:cs="新宋体"/>
          <w:color w:val="000000"/>
          <w:sz w:val="21"/>
          <w:szCs w:val="21"/>
        </w:rPr>
        <w:t>履行合同的文件，并作为其投标文件的一部分。投标人提交的合格性的证明文件应使招标方满意，投标人在投标时应是符合条件的投标人。其具体内容为：</w:t>
      </w:r>
    </w:p>
    <w:p>
      <w:pPr>
        <w:pStyle w:val="3"/>
        <w:spacing w:line="360" w:lineRule="exact"/>
        <w:ind w:left="974" w:leftChars="464"/>
        <w:rPr>
          <w:rFonts w:hint="eastAsia" w:ascii="新宋体" w:hAnsi="新宋体" w:eastAsia="新宋体" w:cs="新宋体"/>
          <w:sz w:val="21"/>
          <w:szCs w:val="21"/>
        </w:rPr>
      </w:pPr>
      <w:r>
        <w:rPr>
          <w:rFonts w:hint="eastAsia" w:ascii="新宋体" w:hAnsi="新宋体" w:eastAsia="新宋体" w:cs="新宋体"/>
          <w:sz w:val="21"/>
          <w:szCs w:val="21"/>
        </w:rPr>
        <w:t>1) 投标单位在“全国企业信用信息公示系统”（网址：http://gsxt.saic.gov.cn/）上的单位详细信息打印件（加盖投标单位公章），或单位营业执照副本复印件（加盖投标单位公章）；【*】</w:t>
      </w:r>
    </w:p>
    <w:p>
      <w:pPr>
        <w:pStyle w:val="3"/>
        <w:spacing w:line="360" w:lineRule="exact"/>
        <w:ind w:left="974" w:leftChars="464"/>
        <w:rPr>
          <w:rFonts w:hint="eastAsia" w:ascii="新宋体" w:hAnsi="新宋体" w:eastAsia="新宋体" w:cs="新宋体"/>
          <w:sz w:val="21"/>
          <w:szCs w:val="21"/>
        </w:rPr>
      </w:pPr>
      <w:r>
        <w:rPr>
          <w:rFonts w:hint="eastAsia" w:ascii="新宋体" w:hAnsi="新宋体" w:eastAsia="新宋体" w:cs="新宋体"/>
          <w:sz w:val="21"/>
          <w:szCs w:val="21"/>
        </w:rPr>
        <w:t>2) 投标方医疗器械经营企业许可证复印件（加盖投标单位公章）；【*】</w:t>
      </w:r>
    </w:p>
    <w:p>
      <w:pPr>
        <w:pStyle w:val="3"/>
        <w:spacing w:line="360" w:lineRule="exact"/>
        <w:ind w:left="974" w:leftChars="464"/>
        <w:rPr>
          <w:rFonts w:hint="eastAsia" w:ascii="新宋体" w:hAnsi="新宋体" w:eastAsia="新宋体" w:cs="新宋体"/>
          <w:sz w:val="21"/>
          <w:szCs w:val="21"/>
        </w:rPr>
      </w:pPr>
      <w:r>
        <w:rPr>
          <w:rFonts w:hint="eastAsia" w:ascii="新宋体" w:hAnsi="新宋体" w:eastAsia="新宋体" w:cs="新宋体"/>
          <w:sz w:val="21"/>
          <w:szCs w:val="21"/>
        </w:rPr>
        <w:t>3) 所投产品的医疗器械注册证复印件（加盖投标单位公章）；【*】</w:t>
      </w:r>
    </w:p>
    <w:p>
      <w:pPr>
        <w:pStyle w:val="3"/>
        <w:spacing w:line="360" w:lineRule="exact"/>
        <w:ind w:left="974" w:leftChars="464"/>
        <w:rPr>
          <w:rFonts w:hint="eastAsia" w:ascii="新宋体" w:hAnsi="新宋体" w:eastAsia="新宋体" w:cs="新宋体"/>
          <w:sz w:val="21"/>
          <w:szCs w:val="21"/>
        </w:rPr>
      </w:pPr>
      <w:r>
        <w:rPr>
          <w:rFonts w:hint="eastAsia" w:ascii="新宋体" w:hAnsi="新宋体" w:eastAsia="新宋体" w:cs="新宋体"/>
          <w:sz w:val="21"/>
          <w:szCs w:val="21"/>
        </w:rPr>
        <w:t>4）所投产品的医疗器械产品注册登记表复印件（加盖投标单位公章）；【*】</w:t>
      </w:r>
    </w:p>
    <w:p>
      <w:pPr>
        <w:pStyle w:val="3"/>
        <w:spacing w:line="360" w:lineRule="exact"/>
        <w:ind w:left="974" w:leftChars="464"/>
        <w:rPr>
          <w:rFonts w:hint="eastAsia" w:ascii="新宋体" w:hAnsi="新宋体" w:eastAsia="新宋体" w:cs="新宋体"/>
          <w:sz w:val="21"/>
          <w:szCs w:val="21"/>
        </w:rPr>
      </w:pPr>
      <w:r>
        <w:rPr>
          <w:rFonts w:hint="eastAsia" w:ascii="新宋体" w:hAnsi="新宋体" w:eastAsia="新宋体" w:cs="新宋体"/>
          <w:sz w:val="21"/>
          <w:szCs w:val="21"/>
        </w:rPr>
        <w:t>5) 法人代表授权委托书(附件6，适用于投标方代表为非法定代表人)；【*】</w:t>
      </w:r>
    </w:p>
    <w:p>
      <w:pPr>
        <w:pStyle w:val="3"/>
        <w:spacing w:line="360" w:lineRule="exact"/>
        <w:ind w:left="974" w:leftChars="464"/>
        <w:rPr>
          <w:rFonts w:hint="eastAsia" w:ascii="新宋体" w:hAnsi="新宋体" w:eastAsia="新宋体" w:cs="新宋体"/>
          <w:sz w:val="21"/>
          <w:szCs w:val="21"/>
        </w:rPr>
      </w:pPr>
      <w:r>
        <w:rPr>
          <w:rFonts w:hint="eastAsia" w:ascii="新宋体" w:hAnsi="新宋体" w:eastAsia="新宋体" w:cs="新宋体"/>
          <w:sz w:val="21"/>
          <w:szCs w:val="21"/>
        </w:rPr>
        <w:t>6) 法人代表或委托代理人身份证复印件；【*】</w:t>
      </w:r>
    </w:p>
    <w:p>
      <w:pPr>
        <w:pStyle w:val="3"/>
        <w:spacing w:line="360" w:lineRule="exact"/>
        <w:ind w:left="974" w:leftChars="464"/>
        <w:rPr>
          <w:rFonts w:hint="eastAsia" w:ascii="新宋体" w:hAnsi="新宋体" w:eastAsia="新宋体" w:cs="新宋体"/>
          <w:sz w:val="21"/>
          <w:szCs w:val="21"/>
        </w:rPr>
      </w:pPr>
      <w:r>
        <w:rPr>
          <w:rFonts w:hint="eastAsia" w:ascii="新宋体" w:hAnsi="新宋体" w:eastAsia="新宋体" w:cs="新宋体"/>
          <w:sz w:val="21"/>
          <w:szCs w:val="21"/>
        </w:rPr>
        <w:t>7)</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所投产品的厂家或代理商的授权证明</w:t>
      </w:r>
      <w:r>
        <w:rPr>
          <w:rFonts w:hint="eastAsia" w:ascii="新宋体" w:hAnsi="新宋体" w:eastAsia="新宋体" w:cs="新宋体"/>
          <w:sz w:val="21"/>
          <w:szCs w:val="21"/>
        </w:rPr>
        <w:t>；【*】</w:t>
      </w:r>
    </w:p>
    <w:p>
      <w:pPr>
        <w:pStyle w:val="3"/>
        <w:spacing w:line="360" w:lineRule="exact"/>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 xml:space="preserve">         8）</w:t>
      </w:r>
      <w:r>
        <w:rPr>
          <w:rFonts w:hint="eastAsia" w:ascii="新宋体" w:hAnsi="新宋体" w:eastAsia="新宋体" w:cs="新宋体"/>
          <w:sz w:val="21"/>
          <w:szCs w:val="21"/>
        </w:rPr>
        <w:t xml:space="preserve"> 投标方认为必要的资料。</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000000"/>
          <w:sz w:val="21"/>
          <w:szCs w:val="21"/>
        </w:rPr>
        <w:t>11.3.2 投标货物、服务符合性的有关证明及技术资料</w:t>
      </w:r>
      <w:r>
        <w:rPr>
          <w:rFonts w:hint="eastAsia" w:ascii="新宋体" w:hAnsi="新宋体" w:eastAsia="新宋体" w:cs="新宋体"/>
          <w:b/>
          <w:bCs/>
          <w:sz w:val="21"/>
        </w:rPr>
        <w:t>（提供的证明文件需在</w:t>
      </w:r>
      <w:r>
        <w:rPr>
          <w:rFonts w:hint="eastAsia" w:ascii="新宋体" w:hAnsi="新宋体" w:eastAsia="新宋体" w:cs="新宋体"/>
          <w:b/>
          <w:bCs/>
          <w:sz w:val="21"/>
          <w:u w:val="single"/>
        </w:rPr>
        <w:t>有效期内</w:t>
      </w:r>
      <w:r>
        <w:rPr>
          <w:rFonts w:hint="eastAsia" w:ascii="新宋体" w:hAnsi="新宋体" w:eastAsia="新宋体" w:cs="新宋体"/>
          <w:b/>
          <w:bCs/>
          <w:sz w:val="21"/>
        </w:rPr>
        <w:t>，过期的文件</w:t>
      </w:r>
      <w:r>
        <w:rPr>
          <w:rFonts w:hint="eastAsia" w:ascii="新宋体" w:hAnsi="新宋体" w:eastAsia="新宋体" w:cs="新宋体"/>
          <w:b/>
          <w:bCs/>
          <w:sz w:val="21"/>
          <w:u w:val="single"/>
        </w:rPr>
        <w:t>无效</w:t>
      </w:r>
      <w:r>
        <w:rPr>
          <w:rFonts w:hint="eastAsia" w:ascii="新宋体" w:hAnsi="新宋体" w:eastAsia="新宋体" w:cs="新宋体"/>
          <w:b/>
          <w:bCs/>
          <w:sz w:val="21"/>
        </w:rPr>
        <w:t>）</w:t>
      </w:r>
      <w:r>
        <w:rPr>
          <w:rFonts w:hint="eastAsia" w:ascii="新宋体" w:hAnsi="新宋体" w:eastAsia="新宋体" w:cs="新宋体"/>
          <w:color w:val="000000"/>
          <w:sz w:val="21"/>
          <w:szCs w:val="21"/>
        </w:rPr>
        <w:t>：投标人须提</w:t>
      </w:r>
      <w:r>
        <w:rPr>
          <w:rFonts w:hint="eastAsia" w:ascii="新宋体" w:hAnsi="新宋体" w:eastAsia="新宋体" w:cs="新宋体"/>
          <w:sz w:val="21"/>
          <w:szCs w:val="21"/>
        </w:rPr>
        <w:t>交参投货物的详细技术文件，其形式可以是文字资料、图纸和数据等，证明其</w:t>
      </w:r>
      <w:r>
        <w:rPr>
          <w:rFonts w:hint="eastAsia" w:ascii="新宋体" w:hAnsi="新宋体" w:eastAsia="新宋体" w:cs="新宋体"/>
          <w:color w:val="auto"/>
          <w:sz w:val="21"/>
          <w:szCs w:val="21"/>
          <w:highlight w:val="none"/>
        </w:rPr>
        <w:t>拟供货物和服务符合招标文件规定的技术响应文件，作为投标文件的一部分。其具体内容为：</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 货物简要说明一览表(附件5)；【*】</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2）设备配置清单；【*】</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3）主要配件最优惠供应价清单；</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4）设备的详细维修保养计划和培训计划方案；【*】</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5）规范偏离表(附件4)；【*】</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6）承诺书［承诺书（附件1），售后服务承诺书(附件2) ，产品质量承诺书(附件3)］；【*】</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7）产品宣传册、操作说明书、设备原生产厂商的DATASHEET等其他资料投标方认为有必要提供的资料。</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11.4 商务标的组成</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1)《开标一览表》(附件7)；【*】</w:t>
      </w:r>
    </w:p>
    <w:p>
      <w:pPr>
        <w:pStyle w:val="3"/>
        <w:spacing w:line="360" w:lineRule="exact"/>
        <w:ind w:left="974" w:leftChars="464"/>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eastAsia="zh-CN"/>
        </w:rPr>
        <w:t>非现金让利</w:t>
      </w:r>
      <w:r>
        <w:rPr>
          <w:rFonts w:hint="eastAsia" w:ascii="新宋体" w:hAnsi="新宋体" w:eastAsia="新宋体" w:cs="新宋体"/>
          <w:color w:val="auto"/>
          <w:sz w:val="21"/>
          <w:szCs w:val="21"/>
          <w:highlight w:val="none"/>
        </w:rPr>
        <w:t>开标一览表》【*】</w:t>
      </w:r>
    </w:p>
    <w:p>
      <w:pPr>
        <w:pStyle w:val="3"/>
        <w:spacing w:line="360" w:lineRule="exact"/>
        <w:ind w:left="974" w:leftChars="464"/>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rPr>
        <w:t>)其他投标方认为有必要提供的资料</w:t>
      </w:r>
      <w:r>
        <w:rPr>
          <w:rFonts w:hint="eastAsia" w:ascii="新宋体" w:hAnsi="新宋体" w:eastAsia="新宋体" w:cs="新宋体"/>
          <w:color w:val="auto"/>
          <w:sz w:val="21"/>
          <w:szCs w:val="21"/>
          <w:highlight w:val="none"/>
          <w:lang w:eastAsia="zh-CN"/>
        </w:rPr>
        <w:t>。</w:t>
      </w:r>
    </w:p>
    <w:p>
      <w:pPr>
        <w:pStyle w:val="3"/>
        <w:spacing w:line="360" w:lineRule="exact"/>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12、投标报价</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12.1投标报价应以人民币为结算货币。须包括</w:t>
      </w:r>
      <w:r>
        <w:rPr>
          <w:rFonts w:hint="eastAsia" w:ascii="新宋体" w:hAnsi="新宋体" w:eastAsia="新宋体" w:cs="新宋体"/>
          <w:b/>
          <w:bCs/>
          <w:color w:val="auto"/>
          <w:sz w:val="21"/>
          <w:szCs w:val="21"/>
          <w:highlight w:val="none"/>
        </w:rPr>
        <w:t>全部设备价款（含必备的附件备件）、运输装卸费、安装调试费和税费</w:t>
      </w:r>
      <w:r>
        <w:rPr>
          <w:rFonts w:hint="eastAsia" w:ascii="新宋体" w:hAnsi="新宋体" w:eastAsia="新宋体" w:cs="新宋体"/>
          <w:color w:val="auto"/>
          <w:sz w:val="21"/>
          <w:szCs w:val="21"/>
          <w:highlight w:val="none"/>
        </w:rPr>
        <w:t>等一切费用。投标报价为投标方所能承受的最低报价。须由中标单位开具正式发票。投标方的投标报价为整个采购项目的总报价，如有漏项，视同已包含在其总项目中，合同总价不做调整。</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12.2投标方应在《开标一览表》上写明投标货物的</w:t>
      </w:r>
      <w:r>
        <w:rPr>
          <w:rFonts w:hint="eastAsia" w:ascii="新宋体" w:hAnsi="新宋体" w:eastAsia="新宋体" w:cs="新宋体"/>
          <w:b/>
          <w:color w:val="auto"/>
          <w:sz w:val="21"/>
          <w:szCs w:val="21"/>
          <w:highlight w:val="none"/>
        </w:rPr>
        <w:t>单价和投标总价</w:t>
      </w:r>
      <w:r>
        <w:rPr>
          <w:rFonts w:hint="eastAsia" w:ascii="新宋体" w:hAnsi="新宋体" w:eastAsia="新宋体" w:cs="新宋体"/>
          <w:color w:val="auto"/>
          <w:sz w:val="21"/>
          <w:szCs w:val="21"/>
          <w:highlight w:val="none"/>
        </w:rPr>
        <w:t>。如果大写金额和小写金额不一致的，以大写金额为准；总价金额与单价汇总金额不一致的，以单价金额计算结果为准；单价金额小数点有明显错位的，应以总价为准，并修改单价；对不同文字文体投标文件的解释发生异议的，以中文文件为准。</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12.3 采购项目只允许有一个报价，有选择的报价将不予接受。</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12.4</w:t>
      </w:r>
      <w:r>
        <w:rPr>
          <w:rFonts w:hint="eastAsia" w:ascii="新宋体" w:hAnsi="新宋体" w:eastAsia="新宋体" w:cs="新宋体"/>
          <w:b/>
          <w:color w:val="auto"/>
          <w:sz w:val="21"/>
          <w:szCs w:val="21"/>
          <w:highlight w:val="none"/>
        </w:rPr>
        <w:t>投标方的报价不得超过预算价或最高限价，否则其投标无效。</w:t>
      </w:r>
    </w:p>
    <w:p>
      <w:pPr>
        <w:pStyle w:val="3"/>
        <w:spacing w:line="360" w:lineRule="exact"/>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 xml:space="preserve">    </w:t>
      </w:r>
      <w:r>
        <w:rPr>
          <w:rFonts w:hint="eastAsia" w:ascii="新宋体" w:hAnsi="新宋体" w:eastAsia="新宋体" w:cs="新宋体"/>
          <w:b/>
          <w:color w:val="auto"/>
          <w:sz w:val="21"/>
          <w:szCs w:val="21"/>
          <w:highlight w:val="none"/>
        </w:rPr>
        <w:t>13、投标保证金</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13.1 投标保证金为投标文件的组成部分之一。本次招标</w:t>
      </w:r>
      <w:r>
        <w:rPr>
          <w:rFonts w:hint="eastAsia" w:ascii="新宋体" w:hAnsi="新宋体" w:eastAsia="新宋体" w:cs="新宋体"/>
          <w:color w:val="auto"/>
          <w:sz w:val="21"/>
          <w:szCs w:val="21"/>
          <w:highlight w:val="none"/>
          <w:lang w:eastAsia="zh-CN"/>
        </w:rPr>
        <w:t>每个标段</w:t>
      </w:r>
      <w:r>
        <w:rPr>
          <w:rFonts w:hint="eastAsia" w:ascii="新宋体" w:hAnsi="新宋体" w:eastAsia="新宋体" w:cs="新宋体"/>
          <w:color w:val="auto"/>
          <w:sz w:val="21"/>
          <w:szCs w:val="21"/>
          <w:highlight w:val="none"/>
        </w:rPr>
        <w:t>投标保证金为</w:t>
      </w:r>
      <w:r>
        <w:rPr>
          <w:rFonts w:hint="eastAsia" w:ascii="新宋体" w:hAnsi="新宋体" w:eastAsia="新宋体" w:cs="新宋体"/>
          <w:color w:val="auto"/>
          <w:sz w:val="21"/>
          <w:szCs w:val="21"/>
          <w:highlight w:val="none"/>
          <w:lang w:val="en-US" w:eastAsia="zh-CN"/>
        </w:rPr>
        <w:t>1万</w:t>
      </w:r>
      <w:r>
        <w:rPr>
          <w:rFonts w:hint="eastAsia" w:ascii="新宋体" w:hAnsi="新宋体" w:eastAsia="新宋体" w:cs="新宋体"/>
          <w:color w:val="auto"/>
          <w:sz w:val="21"/>
          <w:szCs w:val="21"/>
          <w:highlight w:val="none"/>
        </w:rPr>
        <w:t>。</w:t>
      </w:r>
    </w:p>
    <w:p>
      <w:pPr>
        <w:keepNext w:val="0"/>
        <w:keepLines w:val="0"/>
        <w:widowControl/>
        <w:suppressLineNumbers w:val="0"/>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 xml:space="preserve">    </w:t>
      </w:r>
      <w:r>
        <w:rPr>
          <w:rFonts w:hint="eastAsia" w:ascii="新宋体" w:hAnsi="新宋体" w:eastAsia="新宋体" w:cs="新宋体"/>
          <w:color w:val="auto"/>
          <w:sz w:val="21"/>
          <w:szCs w:val="21"/>
          <w:highlight w:val="none"/>
        </w:rPr>
        <w:t>13.2 投标方应在开标前，把足额投标保证金交至</w:t>
      </w:r>
      <w:r>
        <w:rPr>
          <w:rFonts w:hint="eastAsia" w:ascii="新宋体" w:hAnsi="新宋体" w:eastAsia="新宋体" w:cs="新宋体"/>
          <w:color w:val="auto"/>
          <w:kern w:val="0"/>
          <w:sz w:val="21"/>
          <w:szCs w:val="21"/>
          <w:highlight w:val="none"/>
          <w:lang w:val="en-US" w:eastAsia="zh-CN" w:bidi="ar"/>
        </w:rPr>
        <w:t>义乌市稠城街道社区卫生服务中心</w:t>
      </w:r>
      <w:r>
        <w:rPr>
          <w:rFonts w:hint="eastAsia" w:ascii="新宋体" w:hAnsi="新宋体" w:eastAsia="新宋体" w:cs="新宋体"/>
          <w:color w:val="auto"/>
          <w:kern w:val="0"/>
          <w:sz w:val="21"/>
          <w:szCs w:val="21"/>
          <w:highlight w:val="none"/>
          <w:lang w:val="en-US" w:eastAsia="zh-CN" w:bidi="ar"/>
        </w:rPr>
        <w:br w:type="textWrapping"/>
      </w:r>
      <w:r>
        <w:rPr>
          <w:rFonts w:hint="eastAsia" w:ascii="新宋体" w:hAnsi="新宋体" w:eastAsia="新宋体" w:cs="新宋体"/>
          <w:color w:val="auto"/>
          <w:kern w:val="0"/>
          <w:sz w:val="21"/>
          <w:szCs w:val="21"/>
          <w:highlight w:val="none"/>
          <w:lang w:val="en-US" w:eastAsia="zh-CN" w:bidi="ar"/>
        </w:rPr>
        <w:t xml:space="preserve">    开户银行：义乌农商银行稠城支行</w:t>
      </w:r>
      <w:r>
        <w:rPr>
          <w:rFonts w:hint="eastAsia" w:ascii="新宋体" w:hAnsi="新宋体" w:eastAsia="新宋体" w:cs="新宋体"/>
          <w:color w:val="auto"/>
          <w:kern w:val="0"/>
          <w:sz w:val="21"/>
          <w:szCs w:val="21"/>
          <w:highlight w:val="none"/>
          <w:lang w:val="en-US" w:eastAsia="zh-CN" w:bidi="ar"/>
        </w:rPr>
        <w:br w:type="textWrapping"/>
      </w:r>
      <w:r>
        <w:rPr>
          <w:rFonts w:hint="eastAsia" w:ascii="新宋体" w:hAnsi="新宋体" w:eastAsia="新宋体" w:cs="新宋体"/>
          <w:color w:val="auto"/>
          <w:kern w:val="0"/>
          <w:sz w:val="21"/>
          <w:szCs w:val="21"/>
          <w:highlight w:val="none"/>
          <w:lang w:val="en-US" w:eastAsia="zh-CN" w:bidi="ar"/>
        </w:rPr>
        <w:t xml:space="preserve">    账号：201000119322167000002</w:t>
      </w:r>
      <w:r>
        <w:rPr>
          <w:rFonts w:hint="eastAsia" w:ascii="新宋体" w:hAnsi="新宋体" w:eastAsia="新宋体" w:cs="新宋体"/>
          <w:b/>
          <w:color w:val="auto"/>
          <w:sz w:val="21"/>
          <w:szCs w:val="21"/>
          <w:highlight w:val="none"/>
        </w:rPr>
        <w:t>（不接受现金）</w:t>
      </w:r>
      <w:r>
        <w:rPr>
          <w:rFonts w:hint="eastAsia" w:ascii="新宋体" w:hAnsi="新宋体" w:eastAsia="新宋体" w:cs="新宋体"/>
          <w:color w:val="auto"/>
          <w:sz w:val="21"/>
          <w:szCs w:val="21"/>
          <w:highlight w:val="none"/>
        </w:rPr>
        <w:t>。</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13.3 投标保证金的形式：用户请用银行汇款和现金方式交纳投标保证金，并在票据的用途栏注明“</w:t>
      </w:r>
      <w:r>
        <w:rPr>
          <w:rFonts w:hint="eastAsia" w:ascii="新宋体" w:hAnsi="新宋体" w:eastAsia="新宋体" w:cs="新宋体"/>
          <w:color w:val="auto"/>
          <w:sz w:val="21"/>
          <w:szCs w:val="21"/>
          <w:highlight w:val="none"/>
          <w:lang w:eastAsia="zh-CN"/>
        </w:rPr>
        <w:t>义乌市卫计委五官类设备采购</w:t>
      </w:r>
      <w:r>
        <w:rPr>
          <w:rFonts w:hint="eastAsia" w:ascii="新宋体" w:hAnsi="新宋体" w:eastAsia="新宋体" w:cs="新宋体"/>
          <w:color w:val="auto"/>
          <w:sz w:val="21"/>
          <w:szCs w:val="21"/>
          <w:highlight w:val="none"/>
        </w:rPr>
        <w:t>投标保证金”字样。</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13.4 投标保证金需在递交截止时间前到账，超过规定时间到账的，投标将被拒绝。</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13.5 未按规定提交投标保证金的投标，将被视为无效投标。</w:t>
      </w:r>
    </w:p>
    <w:p>
      <w:pPr>
        <w:pStyle w:val="3"/>
        <w:spacing w:line="360" w:lineRule="exact"/>
        <w:ind w:left="901" w:leftChars="171" w:hanging="542" w:hangingChars="257"/>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13.6 若发现有意串标或提供虚假证明材料者，将被视为无效投标，并没收其投标保证金。</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13.7 如果在规定的开标时间后，投标方在投标有效期内撤回投标或放弃中标，将没收其投标保证金。</w:t>
      </w:r>
    </w:p>
    <w:p>
      <w:pPr>
        <w:pStyle w:val="3"/>
        <w:spacing w:line="360" w:lineRule="exact"/>
        <w:ind w:left="899" w:leftChars="171" w:hanging="540" w:hangingChars="257"/>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 xml:space="preserve">13.8 其它未中标投标人的投标保证金，将在中标结果公示结束无异议后退还（不计息）。如发生质疑（投诉）的，质疑人（投诉人）和质疑（或投诉）事项所涉及的相关供应商的投标保证金不受有效期限制，在质疑或投诉处理未结束前一律不予退还。 </w:t>
      </w:r>
    </w:p>
    <w:p>
      <w:pPr>
        <w:pStyle w:val="3"/>
        <w:spacing w:line="360" w:lineRule="exact"/>
        <w:ind w:left="901" w:leftChars="171" w:hanging="542" w:hangingChars="257"/>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13.9 中标方的投标保证金，自动转为履约保证金。采购人将在安装、调试完毕，并经验收合格后30个工作日内，向中标人无息退还其履约保证金。</w:t>
      </w:r>
    </w:p>
    <w:p>
      <w:pPr>
        <w:pStyle w:val="3"/>
        <w:spacing w:line="360" w:lineRule="exact"/>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 xml:space="preserve">14、投标有效期 </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14.1 投标文件从开标之日起，投标有效期为60天。</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14.2 特殊情况下，在原投标有效期截止之前，招标方可要求投标方同意延长有效期，这种要求与答复均应以书面形式提交。在这种情况下，本须知中有关投标保证金的退还和没收的规定将在延长了的有效期内继续有效。投标方可拒绝这种要求，其投标保证金将不被没收。接受延长投标有效期的投标方将不会被要求和允许修正其投标，而只会被要求相应地延长其投标保证金的有效期。</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15、投标偏离及建议</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15.1 投标方如对采购项目的要求在技术和商务方面有偏离，均须在规范的偏离表中提出。</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15.2 投标方可以在投标文件中对采购设备的技术规格要求提出推荐和替代意见，但所提出的意见应优于招标文件中提出的响应要求，并且使招标方满意。</w:t>
      </w:r>
    </w:p>
    <w:p>
      <w:pPr>
        <w:pStyle w:val="3"/>
        <w:spacing w:line="360" w:lineRule="exact"/>
        <w:rPr>
          <w:rFonts w:hint="eastAsia" w:ascii="新宋体" w:hAnsi="新宋体" w:eastAsia="新宋体" w:cs="新宋体"/>
          <w:b/>
          <w:sz w:val="21"/>
          <w:szCs w:val="21"/>
        </w:rPr>
      </w:pPr>
      <w:r>
        <w:rPr>
          <w:rFonts w:hint="eastAsia" w:ascii="新宋体" w:hAnsi="新宋体" w:eastAsia="新宋体" w:cs="新宋体"/>
          <w:b/>
          <w:sz w:val="21"/>
          <w:szCs w:val="21"/>
        </w:rPr>
        <w:t>16、投标文件格式和装订</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sz w:val="21"/>
          <w:szCs w:val="21"/>
        </w:rPr>
        <w:t>16.1 投标方应按招标文件中第七章提</w:t>
      </w:r>
      <w:r>
        <w:rPr>
          <w:rFonts w:hint="eastAsia" w:ascii="新宋体" w:hAnsi="新宋体" w:eastAsia="新宋体" w:cs="新宋体"/>
          <w:color w:val="000000"/>
          <w:sz w:val="21"/>
          <w:szCs w:val="21"/>
        </w:rPr>
        <w:t>供的“投标文件格式”填写并装订。</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w:t>
      </w:r>
      <w:r>
        <w:rPr>
          <w:rFonts w:hint="eastAsia" w:ascii="新宋体" w:hAnsi="新宋体" w:eastAsia="新宋体" w:cs="新宋体"/>
          <w:sz w:val="21"/>
          <w:szCs w:val="21"/>
        </w:rPr>
        <w:t>6.2如一个投标人同时参投多个标项，为了方便开标评标，各标项的投标文件应分开编制和装订。</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四、投标文件的递交</w:t>
      </w:r>
    </w:p>
    <w:p>
      <w:pPr>
        <w:pStyle w:val="3"/>
        <w:spacing w:line="360" w:lineRule="exact"/>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17、投标文件的签署和盖章</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17.1 投标方应按本投标须知规定，提交投标文件的正本和副本。正本与副本如有不一致时，以正本为准。投标文件的正本必须用不退色的墨水书写或打印（副本可以复印），并由投标方法定代表人或其法定代表人授权代表签署；若系授权代表签署，应将法定代表人授权投标委托书装订在投标文件技术标书内。投标方单位名称应为全称，并加盖公章。</w:t>
      </w:r>
    </w:p>
    <w:p>
      <w:pPr>
        <w:pStyle w:val="3"/>
        <w:spacing w:line="360" w:lineRule="exact"/>
        <w:ind w:left="899" w:leftChars="171" w:hanging="540" w:hangingChars="257"/>
        <w:rPr>
          <w:rFonts w:hint="eastAsia" w:ascii="新宋体" w:hAnsi="新宋体" w:eastAsia="新宋体" w:cs="新宋体"/>
          <w:sz w:val="21"/>
          <w:szCs w:val="21"/>
        </w:rPr>
      </w:pPr>
      <w:r>
        <w:rPr>
          <w:rFonts w:hint="eastAsia" w:ascii="新宋体" w:hAnsi="新宋体" w:eastAsia="新宋体" w:cs="新宋体"/>
          <w:color w:val="000000"/>
          <w:sz w:val="21"/>
          <w:szCs w:val="21"/>
        </w:rPr>
        <w:t>17.2 投标文件的任何一页不得涂改、行间插字或删除。如有错漏必需修改，修改处须由同一签署人签字并加盖公章。由于字迹模糊或表达不清引</w:t>
      </w:r>
      <w:r>
        <w:rPr>
          <w:rFonts w:hint="eastAsia" w:ascii="新宋体" w:hAnsi="新宋体" w:eastAsia="新宋体" w:cs="新宋体"/>
          <w:sz w:val="21"/>
          <w:szCs w:val="21"/>
        </w:rPr>
        <w:t>起的后果由投标方负责。</w:t>
      </w:r>
    </w:p>
    <w:p>
      <w:pPr>
        <w:pStyle w:val="3"/>
        <w:spacing w:line="360" w:lineRule="exact"/>
        <w:rPr>
          <w:rFonts w:hint="eastAsia" w:ascii="新宋体" w:hAnsi="新宋体" w:eastAsia="新宋体" w:cs="新宋体"/>
          <w:b/>
          <w:sz w:val="21"/>
          <w:szCs w:val="21"/>
        </w:rPr>
      </w:pPr>
      <w:r>
        <w:rPr>
          <w:rFonts w:hint="eastAsia" w:ascii="新宋体" w:hAnsi="新宋体" w:eastAsia="新宋体" w:cs="新宋体"/>
          <w:b/>
          <w:sz w:val="21"/>
          <w:szCs w:val="21"/>
        </w:rPr>
        <w:t>18、投标文件的密封和标记</w:t>
      </w:r>
    </w:p>
    <w:p>
      <w:pPr>
        <w:pStyle w:val="3"/>
        <w:spacing w:line="360" w:lineRule="exact"/>
        <w:ind w:left="899" w:leftChars="171" w:hanging="540" w:hangingChars="257"/>
        <w:rPr>
          <w:rFonts w:hint="eastAsia" w:ascii="新宋体" w:hAnsi="新宋体" w:eastAsia="新宋体" w:cs="新宋体"/>
          <w:sz w:val="21"/>
          <w:szCs w:val="21"/>
        </w:rPr>
      </w:pPr>
      <w:r>
        <w:rPr>
          <w:rFonts w:hint="eastAsia" w:ascii="新宋体" w:hAnsi="新宋体" w:eastAsia="新宋体" w:cs="新宋体"/>
          <w:sz w:val="21"/>
          <w:szCs w:val="21"/>
        </w:rPr>
        <w:t>18.1 标书封面左上角处应有“正本”或“副本”的清晰文字。</w:t>
      </w:r>
    </w:p>
    <w:p>
      <w:pPr>
        <w:pStyle w:val="3"/>
        <w:spacing w:line="360" w:lineRule="exact"/>
        <w:ind w:left="899" w:leftChars="171" w:hanging="540" w:hangingChars="257"/>
        <w:rPr>
          <w:rFonts w:hint="eastAsia" w:ascii="新宋体" w:hAnsi="新宋体" w:eastAsia="新宋体" w:cs="新宋体"/>
          <w:sz w:val="21"/>
          <w:szCs w:val="21"/>
        </w:rPr>
      </w:pPr>
      <w:r>
        <w:rPr>
          <w:rFonts w:hint="eastAsia" w:ascii="新宋体" w:hAnsi="新宋体" w:eastAsia="新宋体" w:cs="新宋体"/>
          <w:sz w:val="21"/>
          <w:szCs w:val="21"/>
        </w:rPr>
        <w:t>18.2 投标文件应按以下方法用非透明纸质档案袋密封标记：技术标包装袋内装技术标正本一份和副本</w:t>
      </w:r>
      <w:r>
        <w:rPr>
          <w:rFonts w:hint="eastAsia" w:ascii="新宋体" w:hAnsi="新宋体" w:eastAsia="新宋体" w:cs="新宋体"/>
          <w:sz w:val="21"/>
          <w:szCs w:val="21"/>
          <w:u w:val="single"/>
        </w:rPr>
        <w:t>六</w:t>
      </w:r>
      <w:r>
        <w:rPr>
          <w:rFonts w:hint="eastAsia" w:ascii="新宋体" w:hAnsi="新宋体" w:eastAsia="新宋体" w:cs="新宋体"/>
          <w:sz w:val="21"/>
          <w:szCs w:val="21"/>
        </w:rPr>
        <w:t>份，商务标包装袋内装商务标正本一份和副本二份；包装封面上应标明“采购编号、投标项目名称、商务标（或技术标）、投标方名称”等，并注明</w:t>
      </w:r>
      <w:r>
        <w:rPr>
          <w:rFonts w:hint="eastAsia" w:ascii="新宋体" w:hAnsi="新宋体" w:eastAsia="新宋体" w:cs="新宋体"/>
          <w:color w:val="auto"/>
          <w:sz w:val="21"/>
          <w:szCs w:val="21"/>
        </w:rPr>
        <w:t>“于2015年10月23日上午14：00前不</w:t>
      </w:r>
      <w:r>
        <w:rPr>
          <w:rFonts w:hint="eastAsia" w:ascii="新宋体" w:hAnsi="新宋体" w:eastAsia="新宋体" w:cs="新宋体"/>
          <w:sz w:val="21"/>
          <w:szCs w:val="21"/>
        </w:rPr>
        <w:t>准启封”的字样；</w:t>
      </w:r>
      <w:r>
        <w:rPr>
          <w:rFonts w:hint="eastAsia" w:ascii="新宋体" w:hAnsi="新宋体" w:eastAsia="新宋体" w:cs="新宋体"/>
          <w:b/>
          <w:sz w:val="21"/>
          <w:szCs w:val="21"/>
          <w:u w:val="single"/>
        </w:rPr>
        <w:t>封口</w:t>
      </w:r>
      <w:r>
        <w:rPr>
          <w:rFonts w:hint="eastAsia" w:ascii="新宋体" w:hAnsi="新宋体" w:eastAsia="新宋体" w:cs="新宋体"/>
          <w:sz w:val="21"/>
          <w:szCs w:val="21"/>
        </w:rPr>
        <w:t>上须加盖单位公章。</w:t>
      </w:r>
    </w:p>
    <w:p>
      <w:pPr>
        <w:pStyle w:val="3"/>
        <w:spacing w:line="360" w:lineRule="exact"/>
        <w:rPr>
          <w:rFonts w:hint="eastAsia" w:ascii="新宋体" w:hAnsi="新宋体" w:eastAsia="新宋体" w:cs="新宋体"/>
          <w:b/>
          <w:sz w:val="21"/>
          <w:szCs w:val="21"/>
        </w:rPr>
      </w:pPr>
      <w:r>
        <w:rPr>
          <w:rFonts w:hint="eastAsia" w:ascii="新宋体" w:hAnsi="新宋体" w:eastAsia="新宋体" w:cs="新宋体"/>
          <w:b/>
          <w:sz w:val="21"/>
          <w:szCs w:val="21"/>
        </w:rPr>
        <w:t xml:space="preserve">19、投标文件的送达时间 </w:t>
      </w:r>
    </w:p>
    <w:p>
      <w:pPr>
        <w:pStyle w:val="3"/>
        <w:spacing w:line="360" w:lineRule="exact"/>
        <w:ind w:left="899" w:leftChars="171" w:hanging="540" w:hangingChars="257"/>
        <w:rPr>
          <w:rFonts w:hint="eastAsia" w:ascii="新宋体" w:hAnsi="新宋体" w:eastAsia="新宋体" w:cs="新宋体"/>
          <w:sz w:val="21"/>
          <w:szCs w:val="21"/>
        </w:rPr>
      </w:pPr>
      <w:r>
        <w:rPr>
          <w:rFonts w:hint="eastAsia" w:ascii="新宋体" w:hAnsi="新宋体" w:eastAsia="新宋体" w:cs="新宋体"/>
          <w:sz w:val="21"/>
          <w:szCs w:val="21"/>
        </w:rPr>
        <w:t>19.1 开标地点即为投标文件的递交地点，招标方在投标截止时间前一小时内接收投标文件。</w:t>
      </w:r>
    </w:p>
    <w:p>
      <w:pPr>
        <w:pStyle w:val="3"/>
        <w:spacing w:line="360" w:lineRule="exact"/>
        <w:ind w:left="899" w:leftChars="171" w:hanging="540" w:hangingChars="257"/>
        <w:rPr>
          <w:rFonts w:hint="eastAsia" w:ascii="新宋体" w:hAnsi="新宋体" w:eastAsia="新宋体" w:cs="新宋体"/>
          <w:sz w:val="21"/>
          <w:szCs w:val="21"/>
        </w:rPr>
      </w:pPr>
      <w:r>
        <w:rPr>
          <w:rFonts w:hint="eastAsia" w:ascii="新宋体" w:hAnsi="新宋体" w:eastAsia="新宋体" w:cs="新宋体"/>
          <w:sz w:val="21"/>
          <w:szCs w:val="21"/>
        </w:rPr>
        <w:t>19.2 投标截止时间即为开标时间，招标方将拒绝在投标截止时间后收到的投标文件。</w:t>
      </w:r>
    </w:p>
    <w:p>
      <w:pPr>
        <w:pStyle w:val="3"/>
        <w:spacing w:line="360" w:lineRule="exact"/>
        <w:ind w:left="899" w:leftChars="171" w:hanging="540" w:hangingChars="257"/>
        <w:rPr>
          <w:rFonts w:hint="eastAsia" w:ascii="新宋体" w:hAnsi="新宋体" w:eastAsia="新宋体" w:cs="新宋体"/>
          <w:color w:val="000000"/>
          <w:sz w:val="21"/>
          <w:szCs w:val="21"/>
        </w:rPr>
      </w:pPr>
      <w:r>
        <w:rPr>
          <w:rFonts w:hint="eastAsia" w:ascii="新宋体" w:hAnsi="新宋体" w:eastAsia="新宋体" w:cs="新宋体"/>
          <w:sz w:val="21"/>
          <w:szCs w:val="21"/>
        </w:rPr>
        <w:t>19.3 投标截止前，允许投标方更改或撤回投标文件，</w:t>
      </w:r>
      <w:r>
        <w:rPr>
          <w:rFonts w:hint="eastAsia" w:ascii="新宋体" w:hAnsi="新宋体" w:eastAsia="新宋体" w:cs="新宋体"/>
          <w:color w:val="000000"/>
          <w:sz w:val="21"/>
          <w:szCs w:val="21"/>
        </w:rPr>
        <w:t>但须有投标方授权代表签署的书面申请。投标截止后，投标文件不得更改。如在投标截止时间以后至确定中标人以前撤回投标文件，将没收投标保证金。</w:t>
      </w:r>
    </w:p>
    <w:p>
      <w:pPr>
        <w:pStyle w:val="3"/>
        <w:spacing w:line="360" w:lineRule="exact"/>
        <w:ind w:left="899" w:leftChars="171" w:hanging="540" w:hangingChars="257"/>
        <w:rPr>
          <w:rFonts w:hint="eastAsia" w:ascii="新宋体" w:hAnsi="新宋体" w:eastAsia="新宋体" w:cs="新宋体"/>
          <w:b/>
          <w:bCs/>
          <w:color w:val="000000"/>
          <w:sz w:val="36"/>
          <w:szCs w:val="44"/>
        </w:rPr>
      </w:pPr>
      <w:r>
        <w:rPr>
          <w:rFonts w:hint="eastAsia" w:ascii="新宋体" w:hAnsi="新宋体" w:eastAsia="新宋体" w:cs="新宋体"/>
          <w:b/>
          <w:bCs/>
          <w:color w:val="000000"/>
          <w:sz w:val="36"/>
          <w:szCs w:val="44"/>
        </w:rPr>
        <w:br w:type="page"/>
      </w:r>
    </w:p>
    <w:p>
      <w:pPr>
        <w:pStyle w:val="5"/>
        <w:jc w:val="center"/>
        <w:rPr>
          <w:rFonts w:hint="eastAsia" w:ascii="新宋体" w:hAnsi="新宋体" w:eastAsia="新宋体" w:cs="新宋体"/>
          <w:b/>
          <w:color w:val="000000"/>
          <w:sz w:val="36"/>
        </w:rPr>
      </w:pPr>
      <w:r>
        <w:rPr>
          <w:rFonts w:hint="eastAsia" w:ascii="新宋体" w:hAnsi="新宋体" w:eastAsia="新宋体" w:cs="新宋体"/>
          <w:b/>
          <w:bCs/>
          <w:color w:val="000000"/>
          <w:sz w:val="36"/>
          <w:szCs w:val="44"/>
        </w:rPr>
        <w:t>第三章、</w:t>
      </w:r>
      <w:r>
        <w:rPr>
          <w:rFonts w:hint="eastAsia" w:ascii="新宋体" w:hAnsi="新宋体" w:eastAsia="新宋体" w:cs="新宋体"/>
          <w:b/>
          <w:color w:val="000000"/>
          <w:sz w:val="36"/>
        </w:rPr>
        <w:t>招标项目要求</w:t>
      </w:r>
    </w:p>
    <w:p>
      <w:pPr>
        <w:pStyle w:val="5"/>
        <w:spacing w:line="360" w:lineRule="auto"/>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一、《招标货物一览表》</w:t>
      </w:r>
    </w:p>
    <w:tbl>
      <w:tblPr>
        <w:tblStyle w:val="12"/>
        <w:tblpPr w:leftFromText="180" w:rightFromText="180" w:vertAnchor="text" w:horzAnchor="margin" w:tblpY="114"/>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2916"/>
        <w:gridCol w:w="1260"/>
        <w:gridCol w:w="271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trPr>
        <w:tc>
          <w:tcPr>
            <w:tcW w:w="3782" w:type="dxa"/>
            <w:gridSpan w:val="2"/>
            <w:tcMar>
              <w:top w:w="15" w:type="dxa"/>
              <w:left w:w="15" w:type="dxa"/>
              <w:bottom w:w="0" w:type="dxa"/>
              <w:right w:w="15" w:type="dxa"/>
            </w:tcMar>
            <w:vAlign w:val="center"/>
          </w:tcPr>
          <w:p>
            <w:pPr>
              <w:spacing w:line="320" w:lineRule="exact"/>
              <w:jc w:val="center"/>
              <w:rPr>
                <w:rFonts w:hint="eastAsia" w:ascii="新宋体" w:hAnsi="新宋体" w:eastAsia="新宋体" w:cs="新宋体"/>
                <w:b/>
                <w:szCs w:val="21"/>
              </w:rPr>
            </w:pPr>
            <w:r>
              <w:rPr>
                <w:rFonts w:hint="eastAsia" w:ascii="新宋体" w:hAnsi="新宋体" w:eastAsia="新宋体" w:cs="新宋体"/>
                <w:b/>
                <w:szCs w:val="21"/>
              </w:rPr>
              <w:t>设备名称</w:t>
            </w:r>
          </w:p>
        </w:tc>
        <w:tc>
          <w:tcPr>
            <w:tcW w:w="1260" w:type="dxa"/>
            <w:tcMar>
              <w:top w:w="15" w:type="dxa"/>
              <w:left w:w="15" w:type="dxa"/>
              <w:bottom w:w="0" w:type="dxa"/>
              <w:right w:w="15" w:type="dxa"/>
            </w:tcMar>
            <w:vAlign w:val="center"/>
          </w:tcPr>
          <w:p>
            <w:pPr>
              <w:spacing w:line="320" w:lineRule="exact"/>
              <w:jc w:val="center"/>
              <w:rPr>
                <w:rFonts w:hint="eastAsia" w:ascii="新宋体" w:hAnsi="新宋体" w:eastAsia="新宋体" w:cs="新宋体"/>
                <w:b/>
                <w:szCs w:val="21"/>
              </w:rPr>
            </w:pPr>
            <w:r>
              <w:rPr>
                <w:rFonts w:hint="eastAsia" w:ascii="新宋体" w:hAnsi="新宋体" w:eastAsia="新宋体" w:cs="新宋体"/>
                <w:b/>
                <w:szCs w:val="21"/>
              </w:rPr>
              <w:t>数量</w:t>
            </w:r>
          </w:p>
        </w:tc>
        <w:tc>
          <w:tcPr>
            <w:tcW w:w="2713" w:type="dxa"/>
            <w:tcMar>
              <w:top w:w="15" w:type="dxa"/>
              <w:left w:w="15" w:type="dxa"/>
              <w:bottom w:w="0" w:type="dxa"/>
              <w:right w:w="15" w:type="dxa"/>
            </w:tcMar>
            <w:vAlign w:val="center"/>
          </w:tcPr>
          <w:p>
            <w:pPr>
              <w:spacing w:line="320" w:lineRule="exact"/>
              <w:jc w:val="center"/>
              <w:rPr>
                <w:rFonts w:hint="eastAsia" w:ascii="新宋体" w:hAnsi="新宋体" w:eastAsia="新宋体" w:cs="新宋体"/>
                <w:b/>
                <w:szCs w:val="21"/>
              </w:rPr>
            </w:pPr>
            <w:r>
              <w:rPr>
                <w:rFonts w:hint="eastAsia" w:ascii="新宋体" w:hAnsi="新宋体" w:eastAsia="新宋体" w:cs="新宋体"/>
                <w:b/>
                <w:szCs w:val="21"/>
              </w:rPr>
              <w:t>交货期</w:t>
            </w:r>
          </w:p>
        </w:tc>
        <w:tc>
          <w:tcPr>
            <w:tcW w:w="1620" w:type="dxa"/>
            <w:tcMar>
              <w:top w:w="15" w:type="dxa"/>
              <w:left w:w="15" w:type="dxa"/>
              <w:bottom w:w="0" w:type="dxa"/>
              <w:right w:w="15" w:type="dxa"/>
            </w:tcMar>
            <w:vAlign w:val="center"/>
          </w:tcPr>
          <w:p>
            <w:pPr>
              <w:spacing w:line="320" w:lineRule="exact"/>
              <w:jc w:val="center"/>
              <w:rPr>
                <w:rFonts w:hint="eastAsia" w:ascii="新宋体" w:hAnsi="新宋体" w:eastAsia="新宋体" w:cs="新宋体"/>
                <w:b/>
                <w:szCs w:val="21"/>
              </w:rPr>
            </w:pPr>
            <w:r>
              <w:rPr>
                <w:rFonts w:hint="eastAsia" w:ascii="新宋体" w:hAnsi="新宋体" w:eastAsia="新宋体" w:cs="新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866" w:type="dxa"/>
            <w:vMerge w:val="restart"/>
            <w:tcMar>
              <w:top w:w="15" w:type="dxa"/>
              <w:left w:w="15" w:type="dxa"/>
              <w:bottom w:w="0" w:type="dxa"/>
              <w:right w:w="15" w:type="dxa"/>
            </w:tcMar>
            <w:vAlign w:val="center"/>
          </w:tcPr>
          <w:p>
            <w:pPr>
              <w:spacing w:line="320" w:lineRule="exact"/>
              <w:jc w:val="center"/>
              <w:rPr>
                <w:rFonts w:hint="eastAsia" w:ascii="新宋体" w:hAnsi="新宋体" w:eastAsia="新宋体" w:cs="新宋体"/>
                <w:szCs w:val="21"/>
              </w:rPr>
            </w:pPr>
            <w:r>
              <w:rPr>
                <w:rFonts w:hint="eastAsia" w:ascii="新宋体" w:hAnsi="新宋体" w:eastAsia="新宋体" w:cs="新宋体"/>
                <w:szCs w:val="21"/>
              </w:rPr>
              <w:t>标段一</w:t>
            </w:r>
          </w:p>
        </w:tc>
        <w:tc>
          <w:tcPr>
            <w:tcW w:w="2916" w:type="dxa"/>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动态心电图</w:t>
            </w:r>
          </w:p>
        </w:tc>
        <w:tc>
          <w:tcPr>
            <w:tcW w:w="1260" w:type="dxa"/>
            <w:tcMar>
              <w:top w:w="15" w:type="dxa"/>
              <w:left w:w="15" w:type="dxa"/>
              <w:bottom w:w="0" w:type="dxa"/>
              <w:right w:w="15" w:type="dxa"/>
            </w:tcMar>
            <w:vAlign w:val="center"/>
          </w:tcPr>
          <w:p>
            <w:pPr>
              <w:spacing w:line="320" w:lineRule="exact"/>
              <w:jc w:val="both"/>
              <w:rPr>
                <w:rFonts w:hint="eastAsia" w:ascii="新宋体" w:hAnsi="新宋体" w:eastAsia="新宋体" w:cs="新宋体"/>
                <w:sz w:val="21"/>
                <w:szCs w:val="21"/>
              </w:rPr>
            </w:pPr>
          </w:p>
          <w:p>
            <w:pPr>
              <w:spacing w:line="320" w:lineRule="exact"/>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p>
            <w:pPr>
              <w:spacing w:line="320" w:lineRule="exact"/>
              <w:jc w:val="center"/>
              <w:rPr>
                <w:rFonts w:hint="eastAsia" w:ascii="新宋体" w:hAnsi="新宋体" w:eastAsia="新宋体" w:cs="新宋体"/>
                <w:sz w:val="21"/>
                <w:szCs w:val="21"/>
              </w:rPr>
            </w:pPr>
          </w:p>
        </w:tc>
        <w:tc>
          <w:tcPr>
            <w:tcW w:w="2713" w:type="dxa"/>
            <w:vMerge w:val="restart"/>
            <w:tcMar>
              <w:top w:w="15" w:type="dxa"/>
              <w:left w:w="15" w:type="dxa"/>
              <w:bottom w:w="0" w:type="dxa"/>
              <w:right w:w="15" w:type="dxa"/>
            </w:tcMar>
            <w:vAlign w:val="center"/>
          </w:tcPr>
          <w:p>
            <w:pPr>
              <w:spacing w:line="320" w:lineRule="exact"/>
              <w:jc w:val="center"/>
              <w:rPr>
                <w:rFonts w:hint="eastAsia" w:ascii="新宋体" w:hAnsi="新宋体" w:eastAsia="新宋体" w:cs="新宋体"/>
                <w:szCs w:val="21"/>
              </w:rPr>
            </w:pPr>
            <w:r>
              <w:rPr>
                <w:rFonts w:hint="eastAsia" w:ascii="新宋体" w:hAnsi="新宋体" w:eastAsia="新宋体" w:cs="新宋体"/>
                <w:color w:val="000000"/>
                <w:szCs w:val="21"/>
              </w:rPr>
              <w:t>采购签订合同生效后</w:t>
            </w:r>
            <w:r>
              <w:rPr>
                <w:rFonts w:hint="eastAsia" w:ascii="新宋体" w:hAnsi="新宋体" w:eastAsia="新宋体" w:cs="新宋体"/>
                <w:color w:val="000000"/>
                <w:szCs w:val="21"/>
                <w:lang w:val="en-US" w:eastAsia="zh-CN"/>
              </w:rPr>
              <w:t>10</w:t>
            </w:r>
            <w:r>
              <w:rPr>
                <w:rFonts w:hint="eastAsia" w:ascii="新宋体" w:hAnsi="新宋体" w:eastAsia="新宋体" w:cs="新宋体"/>
                <w:color w:val="000000"/>
                <w:szCs w:val="21"/>
              </w:rPr>
              <w:t>天内</w:t>
            </w:r>
          </w:p>
        </w:tc>
        <w:tc>
          <w:tcPr>
            <w:tcW w:w="1620" w:type="dxa"/>
            <w:vMerge w:val="restart"/>
            <w:tcMar>
              <w:top w:w="15" w:type="dxa"/>
              <w:left w:w="15" w:type="dxa"/>
              <w:bottom w:w="0" w:type="dxa"/>
              <w:right w:w="15" w:type="dxa"/>
            </w:tcMar>
            <w:vAlign w:val="center"/>
          </w:tcPr>
          <w:p>
            <w:pPr>
              <w:spacing w:line="280" w:lineRule="exact"/>
              <w:rPr>
                <w:rFonts w:hint="eastAsia" w:ascii="新宋体" w:hAnsi="新宋体" w:eastAsia="新宋体" w:cs="新宋体"/>
                <w:szCs w:val="21"/>
              </w:rPr>
            </w:pPr>
            <w:r>
              <w:rPr>
                <w:rFonts w:hint="eastAsia" w:ascii="新宋体" w:hAnsi="新宋体" w:eastAsia="新宋体"/>
                <w:szCs w:val="21"/>
              </w:rPr>
              <w:t>单个标段不得拆分投标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866" w:type="dxa"/>
            <w:vMerge w:val="continue"/>
            <w:tcMar>
              <w:top w:w="15" w:type="dxa"/>
              <w:left w:w="15" w:type="dxa"/>
              <w:bottom w:w="0" w:type="dxa"/>
              <w:right w:w="15" w:type="dxa"/>
            </w:tcMar>
            <w:vAlign w:val="center"/>
          </w:tcPr>
          <w:p>
            <w:pPr>
              <w:spacing w:line="320" w:lineRule="exact"/>
              <w:jc w:val="center"/>
            </w:pPr>
          </w:p>
        </w:tc>
        <w:tc>
          <w:tcPr>
            <w:tcW w:w="2916" w:type="dxa"/>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动态血压系统</w:t>
            </w:r>
          </w:p>
        </w:tc>
        <w:tc>
          <w:tcPr>
            <w:tcW w:w="1260" w:type="dxa"/>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w:t>
            </w:r>
          </w:p>
        </w:tc>
        <w:tc>
          <w:tcPr>
            <w:tcW w:w="2713" w:type="dxa"/>
            <w:vMerge w:val="continue"/>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c>
          <w:tcPr>
            <w:tcW w:w="1620" w:type="dxa"/>
            <w:vMerge w:val="continue"/>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866" w:type="dxa"/>
            <w:vMerge w:val="restart"/>
            <w:tcMar>
              <w:top w:w="15" w:type="dxa"/>
              <w:left w:w="15" w:type="dxa"/>
              <w:bottom w:w="0" w:type="dxa"/>
              <w:right w:w="15" w:type="dxa"/>
            </w:tcMar>
            <w:textDirection w:val="lrTb"/>
            <w:vAlign w:val="center"/>
          </w:tcPr>
          <w:p>
            <w:pPr>
              <w:jc w:val="center"/>
            </w:pPr>
            <w:r>
              <w:rPr>
                <w:rFonts w:hint="eastAsia"/>
                <w:lang w:eastAsia="zh-CN"/>
              </w:rPr>
              <w:t>标段二</w:t>
            </w:r>
          </w:p>
        </w:tc>
        <w:tc>
          <w:tcPr>
            <w:tcW w:w="2916" w:type="dxa"/>
            <w:tcMar>
              <w:top w:w="15" w:type="dxa"/>
              <w:left w:w="15" w:type="dxa"/>
              <w:bottom w:w="0" w:type="dxa"/>
              <w:right w:w="15" w:type="dxa"/>
            </w:tcMar>
            <w:textDirection w:val="lrTb"/>
            <w:vAlign w:val="center"/>
          </w:tcPr>
          <w:p>
            <w:pPr>
              <w:jc w:val="center"/>
              <w:rPr>
                <w:rFonts w:hint="eastAsia" w:ascii="新宋体" w:hAnsi="新宋体" w:eastAsia="新宋体" w:cs="新宋体"/>
                <w:b w:val="0"/>
                <w:bCs w:val="0"/>
                <w:color w:val="auto"/>
                <w:sz w:val="21"/>
                <w:szCs w:val="21"/>
                <w:lang w:eastAsia="zh-CN"/>
              </w:rPr>
            </w:pPr>
            <w:r>
              <w:rPr>
                <w:rFonts w:hint="eastAsia" w:ascii="新宋体" w:hAnsi="新宋体" w:eastAsia="新宋体" w:cs="新宋体"/>
                <w:b w:val="0"/>
                <w:bCs w:val="0"/>
                <w:color w:val="auto"/>
                <w:sz w:val="21"/>
                <w:szCs w:val="21"/>
                <w:lang w:eastAsia="zh-CN"/>
              </w:rPr>
              <w:t>除颤监护参数</w:t>
            </w:r>
          </w:p>
          <w:p>
            <w:pPr>
              <w:jc w:val="center"/>
              <w:rPr>
                <w:rFonts w:hint="eastAsia" w:ascii="新宋体" w:hAnsi="新宋体" w:eastAsia="新宋体" w:cs="新宋体"/>
                <w:kern w:val="0"/>
                <w:sz w:val="21"/>
                <w:szCs w:val="21"/>
                <w:lang w:eastAsia="zh-CN"/>
              </w:rPr>
            </w:pPr>
          </w:p>
        </w:tc>
        <w:tc>
          <w:tcPr>
            <w:tcW w:w="1260" w:type="dxa"/>
            <w:tcMar>
              <w:top w:w="15" w:type="dxa"/>
              <w:left w:w="15" w:type="dxa"/>
              <w:bottom w:w="0" w:type="dxa"/>
              <w:right w:w="15" w:type="dxa"/>
            </w:tcMar>
            <w:textDirection w:val="lrTb"/>
            <w:vAlign w:val="center"/>
          </w:tcPr>
          <w:p>
            <w:pPr>
              <w:jc w:val="center"/>
              <w:rPr>
                <w:rFonts w:hint="eastAsia" w:ascii="新宋体" w:hAnsi="新宋体" w:eastAsia="新宋体" w:cs="新宋体"/>
                <w:kern w:val="0"/>
                <w:sz w:val="21"/>
                <w:szCs w:val="21"/>
                <w:lang w:val="en-US" w:eastAsia="zh-CN"/>
              </w:rPr>
            </w:pPr>
            <w:r>
              <w:rPr>
                <w:rFonts w:hint="eastAsia" w:ascii="新宋体" w:hAnsi="新宋体" w:eastAsia="新宋体" w:cs="新宋体"/>
                <w:color w:val="auto"/>
                <w:sz w:val="21"/>
                <w:szCs w:val="21"/>
                <w:lang w:val="en-US" w:eastAsia="zh-CN"/>
              </w:rPr>
              <w:t>1</w:t>
            </w:r>
          </w:p>
        </w:tc>
        <w:tc>
          <w:tcPr>
            <w:tcW w:w="2713" w:type="dxa"/>
            <w:vMerge w:val="restart"/>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r>
              <w:rPr>
                <w:rFonts w:hint="eastAsia" w:ascii="新宋体" w:hAnsi="新宋体" w:eastAsia="新宋体" w:cs="新宋体"/>
                <w:color w:val="000000"/>
                <w:szCs w:val="21"/>
              </w:rPr>
              <w:t>采购签订合同生效后</w:t>
            </w:r>
            <w:r>
              <w:rPr>
                <w:rFonts w:hint="eastAsia" w:ascii="新宋体" w:hAnsi="新宋体" w:eastAsia="新宋体" w:cs="新宋体"/>
                <w:color w:val="000000"/>
                <w:szCs w:val="21"/>
                <w:lang w:val="en-US" w:eastAsia="zh-CN"/>
              </w:rPr>
              <w:t>10</w:t>
            </w:r>
            <w:r>
              <w:rPr>
                <w:rFonts w:hint="eastAsia" w:ascii="新宋体" w:hAnsi="新宋体" w:eastAsia="新宋体" w:cs="新宋体"/>
                <w:color w:val="000000"/>
                <w:szCs w:val="21"/>
              </w:rPr>
              <w:t>天内</w:t>
            </w:r>
          </w:p>
        </w:tc>
        <w:tc>
          <w:tcPr>
            <w:tcW w:w="1620" w:type="dxa"/>
            <w:vMerge w:val="restart"/>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r>
              <w:rPr>
                <w:rFonts w:hint="eastAsia" w:ascii="新宋体" w:hAnsi="新宋体" w:eastAsia="新宋体"/>
                <w:szCs w:val="21"/>
              </w:rPr>
              <w:t>单个标段不得拆分投标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866" w:type="dxa"/>
            <w:vMerge w:val="continue"/>
            <w:tcBorders/>
            <w:tcMar>
              <w:top w:w="15" w:type="dxa"/>
              <w:left w:w="15" w:type="dxa"/>
              <w:bottom w:w="0" w:type="dxa"/>
              <w:right w:w="15" w:type="dxa"/>
            </w:tcMar>
            <w:textDirection w:val="lrTb"/>
            <w:vAlign w:val="center"/>
          </w:tcPr>
          <w:p>
            <w:pPr/>
          </w:p>
        </w:tc>
        <w:tc>
          <w:tcPr>
            <w:tcW w:w="2916" w:type="dxa"/>
            <w:tcMar>
              <w:top w:w="15" w:type="dxa"/>
              <w:left w:w="15" w:type="dxa"/>
              <w:bottom w:w="0" w:type="dxa"/>
              <w:right w:w="15" w:type="dxa"/>
            </w:tcMar>
            <w:textDirection w:val="lrTb"/>
            <w:vAlign w:val="center"/>
          </w:tcPr>
          <w:p>
            <w:pPr>
              <w:jc w:val="center"/>
              <w:rPr>
                <w:rFonts w:hint="eastAsia" w:ascii="新宋体" w:hAnsi="新宋体" w:eastAsia="新宋体" w:cs="新宋体"/>
                <w:kern w:val="0"/>
                <w:sz w:val="21"/>
                <w:szCs w:val="21"/>
                <w:lang w:eastAsia="zh-CN"/>
              </w:rPr>
            </w:pPr>
            <w:r>
              <w:rPr>
                <w:rFonts w:hint="eastAsia" w:ascii="新宋体" w:hAnsi="新宋体" w:eastAsia="新宋体" w:cs="新宋体"/>
                <w:b w:val="0"/>
                <w:bCs w:val="0"/>
                <w:color w:val="auto"/>
                <w:sz w:val="21"/>
                <w:szCs w:val="21"/>
                <w:lang w:eastAsia="zh-CN"/>
              </w:rPr>
              <w:t>心电图机</w:t>
            </w:r>
          </w:p>
        </w:tc>
        <w:tc>
          <w:tcPr>
            <w:tcW w:w="1260" w:type="dxa"/>
            <w:tcMar>
              <w:top w:w="15" w:type="dxa"/>
              <w:left w:w="15" w:type="dxa"/>
              <w:bottom w:w="0" w:type="dxa"/>
              <w:right w:w="15" w:type="dxa"/>
            </w:tcMar>
            <w:textDirection w:val="lrTb"/>
            <w:vAlign w:val="center"/>
          </w:tcPr>
          <w:p>
            <w:pPr>
              <w:jc w:val="center"/>
              <w:rPr>
                <w:rFonts w:hint="eastAsia" w:ascii="新宋体" w:hAnsi="新宋体" w:eastAsia="新宋体" w:cs="新宋体"/>
                <w:kern w:val="0"/>
                <w:sz w:val="21"/>
                <w:szCs w:val="21"/>
                <w:lang w:val="en-US" w:eastAsia="zh-CN"/>
              </w:rPr>
            </w:pPr>
            <w:r>
              <w:rPr>
                <w:rFonts w:hint="eastAsia" w:ascii="新宋体" w:hAnsi="新宋体" w:eastAsia="新宋体" w:cs="新宋体"/>
                <w:color w:val="auto"/>
                <w:sz w:val="21"/>
                <w:szCs w:val="21"/>
                <w:lang w:val="en-US" w:eastAsia="zh-CN"/>
              </w:rPr>
              <w:t>2</w:t>
            </w:r>
          </w:p>
        </w:tc>
        <w:tc>
          <w:tcPr>
            <w:tcW w:w="2713" w:type="dxa"/>
            <w:vMerge w:val="continue"/>
            <w:tcBorders/>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c>
          <w:tcPr>
            <w:tcW w:w="1620" w:type="dxa"/>
            <w:vMerge w:val="continue"/>
            <w:tcBorders/>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866" w:type="dxa"/>
            <w:vMerge w:val="continue"/>
            <w:tcBorders/>
            <w:tcMar>
              <w:top w:w="15" w:type="dxa"/>
              <w:left w:w="15" w:type="dxa"/>
              <w:bottom w:w="0" w:type="dxa"/>
              <w:right w:w="15" w:type="dxa"/>
            </w:tcMar>
            <w:textDirection w:val="lrTb"/>
            <w:vAlign w:val="center"/>
          </w:tcPr>
          <w:p>
            <w:pPr/>
          </w:p>
        </w:tc>
        <w:tc>
          <w:tcPr>
            <w:tcW w:w="2916" w:type="dxa"/>
            <w:tcMar>
              <w:top w:w="15" w:type="dxa"/>
              <w:left w:w="15" w:type="dxa"/>
              <w:bottom w:w="0" w:type="dxa"/>
              <w:right w:w="15" w:type="dxa"/>
            </w:tcMar>
            <w:textDirection w:val="lrTb"/>
            <w:vAlign w:val="center"/>
          </w:tcPr>
          <w:p>
            <w:pPr>
              <w:jc w:val="center"/>
              <w:rPr>
                <w:rFonts w:hint="eastAsia" w:ascii="新宋体" w:hAnsi="新宋体" w:eastAsia="新宋体" w:cs="新宋体"/>
                <w:kern w:val="0"/>
                <w:sz w:val="21"/>
                <w:szCs w:val="21"/>
                <w:lang w:eastAsia="zh-CN"/>
              </w:rPr>
            </w:pPr>
            <w:r>
              <w:rPr>
                <w:rFonts w:hint="eastAsia" w:ascii="新宋体" w:hAnsi="新宋体" w:eastAsia="新宋体" w:cs="新宋体"/>
                <w:b w:val="0"/>
                <w:bCs w:val="0"/>
                <w:color w:val="auto"/>
                <w:sz w:val="21"/>
                <w:szCs w:val="21"/>
                <w:lang w:eastAsia="zh-CN"/>
              </w:rPr>
              <w:t>胎儿监护仪</w:t>
            </w:r>
          </w:p>
        </w:tc>
        <w:tc>
          <w:tcPr>
            <w:tcW w:w="1260" w:type="dxa"/>
            <w:tcMar>
              <w:top w:w="15" w:type="dxa"/>
              <w:left w:w="15" w:type="dxa"/>
              <w:bottom w:w="0" w:type="dxa"/>
              <w:right w:w="15" w:type="dxa"/>
            </w:tcMar>
            <w:textDirection w:val="lrTb"/>
            <w:vAlign w:val="center"/>
          </w:tcPr>
          <w:p>
            <w:pPr>
              <w:jc w:val="center"/>
              <w:rPr>
                <w:rFonts w:hint="eastAsia" w:ascii="新宋体" w:hAnsi="新宋体" w:eastAsia="新宋体" w:cs="新宋体"/>
                <w:kern w:val="0"/>
                <w:sz w:val="21"/>
                <w:szCs w:val="21"/>
                <w:lang w:val="en-US" w:eastAsia="zh-CN"/>
              </w:rPr>
            </w:pPr>
            <w:r>
              <w:rPr>
                <w:rFonts w:hint="eastAsia" w:ascii="新宋体" w:hAnsi="新宋体" w:eastAsia="新宋体" w:cs="新宋体"/>
                <w:color w:val="auto"/>
                <w:sz w:val="21"/>
                <w:szCs w:val="21"/>
                <w:lang w:val="en-US" w:eastAsia="zh-CN"/>
              </w:rPr>
              <w:t>1</w:t>
            </w:r>
          </w:p>
        </w:tc>
        <w:tc>
          <w:tcPr>
            <w:tcW w:w="2713" w:type="dxa"/>
            <w:vMerge w:val="continue"/>
            <w:tcBorders/>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c>
          <w:tcPr>
            <w:tcW w:w="1620" w:type="dxa"/>
            <w:vMerge w:val="continue"/>
            <w:tcBorders/>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866" w:type="dxa"/>
            <w:vMerge w:val="continue"/>
            <w:tcBorders/>
            <w:tcMar>
              <w:top w:w="15" w:type="dxa"/>
              <w:left w:w="15" w:type="dxa"/>
              <w:bottom w:w="0" w:type="dxa"/>
              <w:right w:w="15" w:type="dxa"/>
            </w:tcMar>
            <w:textDirection w:val="lrTb"/>
            <w:vAlign w:val="center"/>
          </w:tcPr>
          <w:p>
            <w:pPr/>
          </w:p>
        </w:tc>
        <w:tc>
          <w:tcPr>
            <w:tcW w:w="2916" w:type="dxa"/>
            <w:tcMar>
              <w:top w:w="15" w:type="dxa"/>
              <w:left w:w="15" w:type="dxa"/>
              <w:bottom w:w="0" w:type="dxa"/>
              <w:right w:w="15" w:type="dxa"/>
            </w:tcMar>
            <w:textDirection w:val="lrTb"/>
            <w:vAlign w:val="center"/>
          </w:tcPr>
          <w:p>
            <w:pPr>
              <w:jc w:val="center"/>
              <w:rPr>
                <w:rFonts w:hint="eastAsia" w:ascii="新宋体" w:hAnsi="新宋体" w:eastAsia="新宋体" w:cs="新宋体"/>
                <w:kern w:val="0"/>
                <w:sz w:val="21"/>
                <w:szCs w:val="21"/>
                <w:lang w:eastAsia="zh-CN"/>
              </w:rPr>
            </w:pPr>
            <w:r>
              <w:rPr>
                <w:rFonts w:hint="eastAsia" w:ascii="新宋体" w:hAnsi="新宋体" w:eastAsia="新宋体" w:cs="新宋体"/>
                <w:b w:val="0"/>
                <w:bCs w:val="0"/>
                <w:color w:val="auto"/>
                <w:sz w:val="21"/>
                <w:szCs w:val="21"/>
                <w:lang w:eastAsia="zh-CN"/>
              </w:rPr>
              <w:t>胎儿监护仪（一拖四）</w:t>
            </w:r>
          </w:p>
        </w:tc>
        <w:tc>
          <w:tcPr>
            <w:tcW w:w="1260" w:type="dxa"/>
            <w:tcMar>
              <w:top w:w="15" w:type="dxa"/>
              <w:left w:w="15" w:type="dxa"/>
              <w:bottom w:w="0" w:type="dxa"/>
              <w:right w:w="15" w:type="dxa"/>
            </w:tcMar>
            <w:textDirection w:val="lrTb"/>
            <w:vAlign w:val="center"/>
          </w:tcPr>
          <w:p>
            <w:pPr>
              <w:jc w:val="center"/>
              <w:rPr>
                <w:rFonts w:hint="eastAsia" w:ascii="新宋体" w:hAnsi="新宋体" w:eastAsia="新宋体" w:cs="新宋体"/>
                <w:kern w:val="0"/>
                <w:sz w:val="21"/>
                <w:szCs w:val="21"/>
                <w:lang w:val="en-US" w:eastAsia="zh-CN"/>
              </w:rPr>
            </w:pPr>
            <w:r>
              <w:rPr>
                <w:rFonts w:hint="eastAsia" w:ascii="新宋体" w:hAnsi="新宋体" w:eastAsia="新宋体" w:cs="新宋体"/>
                <w:color w:val="auto"/>
                <w:sz w:val="21"/>
                <w:szCs w:val="21"/>
                <w:lang w:val="en-US" w:eastAsia="zh-CN"/>
              </w:rPr>
              <w:t>1</w:t>
            </w:r>
          </w:p>
        </w:tc>
        <w:tc>
          <w:tcPr>
            <w:tcW w:w="2713" w:type="dxa"/>
            <w:vMerge w:val="continue"/>
            <w:tcBorders/>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c>
          <w:tcPr>
            <w:tcW w:w="1620" w:type="dxa"/>
            <w:vMerge w:val="continue"/>
            <w:tcBorders/>
            <w:tcMar>
              <w:top w:w="15" w:type="dxa"/>
              <w:left w:w="15" w:type="dxa"/>
              <w:bottom w:w="0" w:type="dxa"/>
              <w:right w:w="15" w:type="dxa"/>
            </w:tcMar>
            <w:vAlign w:val="center"/>
          </w:tcPr>
          <w:p>
            <w:pPr>
              <w:spacing w:line="320" w:lineRule="exact"/>
              <w:jc w:val="center"/>
              <w:rPr>
                <w:rFonts w:hint="eastAsia" w:ascii="新宋体" w:hAnsi="新宋体" w:eastAsia="新宋体" w:cs="新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5" w:hRule="atLeast"/>
        </w:trPr>
        <w:tc>
          <w:tcPr>
            <w:tcW w:w="9375" w:type="dxa"/>
            <w:gridSpan w:val="5"/>
            <w:tcMar>
              <w:top w:w="15" w:type="dxa"/>
              <w:left w:w="15" w:type="dxa"/>
              <w:bottom w:w="0" w:type="dxa"/>
              <w:right w:w="15" w:type="dxa"/>
            </w:tcMar>
            <w:vAlign w:val="center"/>
          </w:tcPr>
          <w:p>
            <w:pPr>
              <w:spacing w:line="280" w:lineRule="exact"/>
              <w:rPr>
                <w:rFonts w:hint="eastAsia" w:ascii="新宋体" w:hAnsi="新宋体" w:eastAsia="新宋体" w:cs="新宋体"/>
                <w:color w:val="auto"/>
                <w:szCs w:val="21"/>
              </w:rPr>
            </w:pPr>
            <w:r>
              <w:rPr>
                <w:rFonts w:hint="eastAsia" w:ascii="新宋体" w:hAnsi="新宋体" w:eastAsia="新宋体" w:cs="新宋体"/>
                <w:b/>
                <w:color w:val="auto"/>
              </w:rPr>
              <w:t>备注：本项目采购数量为暂定数量。中标方在一年内（从中标通知书发放之日算起）采购单位及其下属机构（包括浙江大学附属义乌医院）有相同采购要求，需要按照本次招标结果执行的，中标单位必须满足采购单位要求供货，否则将按规定列入不良行为记录。</w:t>
            </w:r>
          </w:p>
        </w:tc>
      </w:tr>
    </w:tbl>
    <w:p>
      <w:pPr>
        <w:pStyle w:val="5"/>
        <w:numPr>
          <w:ilvl w:val="0"/>
          <w:numId w:val="2"/>
        </w:numPr>
        <w:spacing w:line="360" w:lineRule="auto"/>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详细技术规范和功能要求</w:t>
      </w:r>
    </w:p>
    <w:p>
      <w:pPr>
        <w:pStyle w:val="5"/>
        <w:numPr>
          <w:numId w:val="0"/>
        </w:numPr>
        <w:spacing w:line="360" w:lineRule="auto"/>
        <w:rPr>
          <w:rFonts w:hint="eastAsia" w:ascii="新宋体" w:hAnsi="新宋体" w:eastAsia="新宋体" w:cs="新宋体"/>
          <w:b/>
          <w:color w:val="auto"/>
          <w:sz w:val="24"/>
          <w:szCs w:val="24"/>
          <w:lang w:eastAsia="zh-CN"/>
        </w:rPr>
      </w:pPr>
      <w:r>
        <w:rPr>
          <w:rFonts w:hint="eastAsia" w:ascii="新宋体" w:hAnsi="新宋体" w:eastAsia="新宋体" w:cs="新宋体"/>
          <w:b/>
          <w:color w:val="auto"/>
          <w:sz w:val="24"/>
          <w:szCs w:val="24"/>
          <w:lang w:eastAsia="zh-CN"/>
        </w:rPr>
        <w:t>标段一：</w:t>
      </w:r>
    </w:p>
    <w:p>
      <w:pPr>
        <w:pStyle w:val="5"/>
        <w:spacing w:line="360" w:lineRule="auto"/>
        <w:rPr>
          <w:rFonts w:hint="eastAsia" w:ascii="新宋体" w:hAnsi="新宋体" w:eastAsia="新宋体" w:cs="新宋体"/>
          <w:b/>
          <w:color w:val="auto"/>
          <w:sz w:val="24"/>
          <w:szCs w:val="24"/>
        </w:rPr>
      </w:pPr>
    </w:p>
    <w:p>
      <w:pPr>
        <w:spacing w:line="360" w:lineRule="exact"/>
        <w:jc w:val="center"/>
        <w:rPr>
          <w:rFonts w:hint="eastAsia" w:ascii="新宋体" w:hAnsi="新宋体" w:eastAsia="新宋体" w:cs="新宋体"/>
          <w:b/>
          <w:bCs/>
          <w:sz w:val="21"/>
          <w:szCs w:val="21"/>
        </w:rPr>
      </w:pPr>
      <w:r>
        <w:rPr>
          <w:rFonts w:hint="eastAsia" w:ascii="新宋体" w:hAnsi="新宋体" w:eastAsia="新宋体" w:cs="新宋体"/>
          <w:b/>
          <w:bCs/>
          <w:sz w:val="21"/>
          <w:szCs w:val="21"/>
          <w:lang w:val="en-US" w:eastAsia="zh-CN"/>
        </w:rPr>
        <w:t>(一）</w:t>
      </w:r>
      <w:r>
        <w:rPr>
          <w:rFonts w:hint="eastAsia" w:ascii="新宋体" w:hAnsi="新宋体" w:eastAsia="新宋体" w:cs="新宋体"/>
          <w:b/>
          <w:bCs/>
          <w:sz w:val="21"/>
          <w:szCs w:val="21"/>
        </w:rPr>
        <w:t>动态心电图技术参数</w:t>
      </w:r>
    </w:p>
    <w:p>
      <w:pPr>
        <w:spacing w:line="360" w:lineRule="exact"/>
        <w:jc w:val="center"/>
        <w:rPr>
          <w:rFonts w:hint="eastAsia" w:ascii="新宋体" w:hAnsi="新宋体" w:eastAsia="新宋体" w:cs="新宋体"/>
          <w:sz w:val="21"/>
          <w:szCs w:val="21"/>
        </w:rPr>
      </w:pPr>
    </w:p>
    <w:tbl>
      <w:tblPr>
        <w:tblStyle w:val="12"/>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sz w:val="21"/>
                <w:szCs w:val="21"/>
              </w:rPr>
            </w:pPr>
            <w:r>
              <w:rPr>
                <w:rFonts w:hint="eastAsia" w:ascii="新宋体" w:hAnsi="新宋体" w:eastAsia="新宋体" w:cs="新宋体"/>
                <w:sz w:val="21"/>
                <w:szCs w:val="21"/>
              </w:rPr>
              <w:t>序号</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设备名称：动态心电图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1.1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设备数量：1套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1.2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设备用途：心电图室用于对病人的心电实时波形的分析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1.3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设备配置：</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主机：1套</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三导记录盒：6只</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动态心电分析软件：1套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主机技术要求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2.1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主机：CPU：Intel 双核2.8GHz</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内存：4G</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硬盘：500G</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显示器：19英寸液晶显示器</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刻录机：DVD + /- RW</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打印机：HP 激光打印机</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操作系统：预装正版中文Windows 7操作系统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记录盒技术要求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全数字三导记录盒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配置独立起搏通道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记录盒内置存储单元，无可插拔存储部件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具有心电波形预览功能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3.5</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通过红外方式在主机屏幕上预览心电波形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*3.6</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同时波形道数≥2道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3.7</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记录盒重量（含电池）≤72克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3.8</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记录时间≥24小时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3.9</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使用2节7号电池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软件分析功能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提供软件的注册证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具有心律失常分析功能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心率变异性时域分析功能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心率变异性频域分析功能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4.5</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起搏分析功能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4.6</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独立的ST段分析功能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4.7</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ST段计算点可重新设置再分析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4.8</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具有正常、室性、室上性、干扰模板、起搏模板及未知模板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4.9</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模板具有DEMIX再拆分功能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4.10</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通过SVE 编辑器根据N-N间期直方图及配合同步条图确定每个病人提前量，随时修正分析结果, 使房早分析达到准确快速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同屏同步显示趋势图、直方图、条图、模板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具有自动检测房颤功能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采用区域划分的方法做阵发性房颤及房扑的分析, 手工快速查找房颤的起点与终点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区域划分的方法可用于编辑某一时段出现的伪差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4.15</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任选分析通道及分析通道组合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4.16</w:t>
            </w:r>
          </w:p>
        </w:tc>
        <w:tc>
          <w:tcPr>
            <w:tcW w:w="793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具有N-N Delay 的事件定义，对完全不同的房室传导阻滞可快速检出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4.17</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对传导阻滞及长间歇的事件可通过定义R-R及N-N间期快速统计所有相关事件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4.18</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可自动报告房性二联律、三联律、四联律等事件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4.19</w:t>
            </w:r>
          </w:p>
        </w:tc>
        <w:tc>
          <w:tcPr>
            <w:tcW w:w="793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具有直方图、全览图、趋势图、条图、叠加图等多种工具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4.20</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20种以上报告格式供医生灵活选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4.21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可由医生自定义报告格式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4.22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可选择预设的多种报告生成系统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4.23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支持10种以上的语言格式（包含英文、中文）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4.24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操作界面可由用户自定义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4.25</w:t>
            </w:r>
          </w:p>
        </w:tc>
        <w:tc>
          <w:tcPr>
            <w:tcW w:w="793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打印条图时可选择打印通道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5</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5.1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浙江省内用户数量≥8家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5.2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浙江省内有原厂直接售后服务机构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5.3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免费保修≧2年</w:t>
            </w:r>
            <w:r>
              <w:rPr>
                <w:rFonts w:hint="eastAsia" w:ascii="新宋体" w:hAnsi="新宋体" w:eastAsia="新宋体" w:cs="新宋体"/>
                <w:color w:val="000000"/>
                <w:kern w:val="0"/>
                <w:sz w:val="21"/>
                <w:szCs w:val="21"/>
              </w:rPr>
              <w:t>，保修期外提供终身维修，免人工维护费，维修配件优惠≧</w:t>
            </w:r>
            <w:r>
              <w:rPr>
                <w:rFonts w:hint="eastAsia" w:ascii="新宋体" w:hAnsi="新宋体" w:eastAsia="新宋体" w:cs="新宋体"/>
                <w:color w:val="000000"/>
                <w:kern w:val="0"/>
                <w:sz w:val="21"/>
                <w:szCs w:val="21"/>
                <w:lang w:eastAsia="zh-CN"/>
              </w:rPr>
              <w:t>七</w:t>
            </w:r>
            <w:r>
              <w:rPr>
                <w:rFonts w:hint="eastAsia" w:ascii="新宋体" w:hAnsi="新宋体" w:eastAsia="新宋体" w:cs="新宋体"/>
                <w:color w:val="000000"/>
                <w:kern w:val="0"/>
                <w:sz w:val="21"/>
                <w:szCs w:val="21"/>
              </w:rPr>
              <w:t>折</w:t>
            </w:r>
            <w:r>
              <w:rPr>
                <w:rFonts w:hint="eastAsia" w:ascii="新宋体" w:hAnsi="新宋体" w:eastAsia="新宋体" w:cs="新宋体"/>
                <w:color w:val="000000"/>
                <w:kern w:val="0"/>
                <w:sz w:val="21"/>
                <w:szCs w:val="21"/>
                <w:lang w:eastAsia="zh-CN"/>
              </w:rPr>
              <w:t>，</w:t>
            </w:r>
            <w:r>
              <w:rPr>
                <w:rFonts w:hint="eastAsia" w:ascii="新宋体" w:hAnsi="新宋体" w:eastAsia="新宋体" w:cs="新宋体"/>
                <w:color w:val="000000"/>
                <w:kern w:val="0"/>
                <w:sz w:val="21"/>
                <w:szCs w:val="21"/>
              </w:rPr>
              <w:t>评标时作为考虑</w:t>
            </w:r>
          </w:p>
        </w:tc>
      </w:tr>
    </w:tbl>
    <w:p>
      <w:pPr>
        <w:rPr>
          <w:rFonts w:hint="eastAsia" w:ascii="新宋体" w:hAnsi="新宋体" w:eastAsia="新宋体" w:cs="新宋体"/>
          <w:sz w:val="21"/>
          <w:szCs w:val="21"/>
        </w:rPr>
      </w:pPr>
    </w:p>
    <w:p>
      <w:pPr>
        <w:rPr>
          <w:rFonts w:hint="eastAsia" w:ascii="新宋体" w:hAnsi="新宋体" w:eastAsia="新宋体" w:cs="新宋体"/>
          <w:sz w:val="21"/>
          <w:szCs w:val="21"/>
        </w:rPr>
      </w:pPr>
    </w:p>
    <w:p>
      <w:pPr>
        <w:jc w:val="both"/>
        <w:rPr>
          <w:rFonts w:hint="eastAsia" w:ascii="新宋体" w:hAnsi="新宋体" w:eastAsia="新宋体" w:cs="新宋体"/>
          <w:b/>
          <w:bCs/>
          <w:sz w:val="21"/>
          <w:szCs w:val="21"/>
        </w:rPr>
      </w:pPr>
      <w:r>
        <w:rPr>
          <w:rFonts w:hint="eastAsia" w:ascii="新宋体" w:hAnsi="新宋体" w:eastAsia="新宋体" w:cs="新宋体"/>
          <w:b/>
          <w:bCs/>
          <w:sz w:val="21"/>
          <w:szCs w:val="21"/>
          <w:lang w:eastAsia="zh-CN"/>
        </w:rPr>
        <w:t>（二）</w:t>
      </w:r>
      <w:r>
        <w:rPr>
          <w:rFonts w:hint="eastAsia" w:ascii="新宋体" w:hAnsi="新宋体" w:eastAsia="新宋体" w:cs="新宋体"/>
          <w:b/>
          <w:bCs/>
          <w:sz w:val="21"/>
          <w:szCs w:val="21"/>
        </w:rPr>
        <w:t>动态血压系统技术参数</w:t>
      </w:r>
    </w:p>
    <w:p>
      <w:pPr>
        <w:rPr>
          <w:rFonts w:hint="eastAsia" w:ascii="新宋体" w:hAnsi="新宋体" w:eastAsia="新宋体" w:cs="新宋体"/>
          <w:sz w:val="21"/>
          <w:szCs w:val="21"/>
        </w:rPr>
      </w:pP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1101" w:type="dxa"/>
            <w:vAlign w:val="top"/>
          </w:tcPr>
          <w:p>
            <w:pPr>
              <w:spacing w:line="300" w:lineRule="exact"/>
              <w:rPr>
                <w:rFonts w:hint="eastAsia" w:ascii="新宋体" w:hAnsi="新宋体" w:eastAsia="新宋体" w:cs="新宋体"/>
                <w:sz w:val="21"/>
                <w:szCs w:val="21"/>
              </w:rPr>
            </w:pPr>
            <w:bookmarkStart w:id="0" w:name="_Toc414021964"/>
            <w:r>
              <w:rPr>
                <w:rFonts w:hint="eastAsia" w:ascii="新宋体" w:hAnsi="新宋体" w:eastAsia="新宋体" w:cs="新宋体"/>
                <w:sz w:val="21"/>
                <w:szCs w:val="21"/>
              </w:rPr>
              <w:t>序号</w:t>
            </w:r>
            <w:bookmarkEnd w:id="0"/>
          </w:p>
        </w:tc>
        <w:tc>
          <w:tcPr>
            <w:tcW w:w="7371" w:type="dxa"/>
            <w:vAlign w:val="top"/>
          </w:tcPr>
          <w:p>
            <w:pPr>
              <w:spacing w:line="300" w:lineRule="exact"/>
              <w:rPr>
                <w:rFonts w:hint="eastAsia" w:ascii="新宋体" w:hAnsi="新宋体" w:eastAsia="新宋体" w:cs="新宋体"/>
                <w:sz w:val="21"/>
                <w:szCs w:val="21"/>
              </w:rPr>
            </w:pPr>
            <w:bookmarkStart w:id="1" w:name="_Toc414021965"/>
            <w:r>
              <w:rPr>
                <w:rFonts w:hint="eastAsia" w:ascii="新宋体" w:hAnsi="新宋体" w:eastAsia="新宋体" w:cs="新宋体"/>
                <w:sz w:val="21"/>
                <w:szCs w:val="21"/>
              </w:rPr>
              <w:t>采购文件要求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1101" w:type="dxa"/>
            <w:vAlign w:val="center"/>
          </w:tcPr>
          <w:p>
            <w:pPr>
              <w:spacing w:line="300" w:lineRule="exact"/>
              <w:rPr>
                <w:rFonts w:hint="eastAsia" w:ascii="新宋体" w:hAnsi="新宋体" w:eastAsia="新宋体" w:cs="新宋体"/>
                <w:sz w:val="21"/>
                <w:szCs w:val="21"/>
              </w:rPr>
            </w:pPr>
            <w:bookmarkStart w:id="2" w:name="_Toc414021968"/>
            <w:r>
              <w:rPr>
                <w:rFonts w:hint="eastAsia" w:ascii="新宋体" w:hAnsi="新宋体" w:eastAsia="新宋体" w:cs="新宋体"/>
                <w:sz w:val="21"/>
                <w:szCs w:val="21"/>
              </w:rPr>
              <w:t>1.</w:t>
            </w:r>
            <w:bookmarkEnd w:id="2"/>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设备名称：动态血压系统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1</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血压测量技术：逐步放气示波法测量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2</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血压范围：26-260mmHg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3</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心率范围：40-195bpm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4</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测量间隔设置：6-120分钟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1101" w:type="dxa"/>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5</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测量间隔控制：固定或模糊控制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101" w:type="dxa"/>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6</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每个记录盒随机配备大、中号尺寸袖带各一套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101" w:type="dxa"/>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7</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最小测量间隔：5分钟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101" w:type="dxa"/>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8</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具备小儿阈值设置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101" w:type="dxa"/>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9</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动态充气，使压力保持在前次收缩压测量时压力以上30毫米汞柱，减少测量时间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101" w:type="dxa"/>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2.1</w:t>
            </w:r>
            <w:r>
              <w:rPr>
                <w:rFonts w:hint="eastAsia" w:ascii="新宋体" w:hAnsi="新宋体" w:eastAsia="新宋体" w:cs="新宋体"/>
                <w:sz w:val="21"/>
                <w:szCs w:val="21"/>
                <w:lang w:val="en-US" w:eastAsia="zh-CN"/>
              </w:rPr>
              <w:t>0</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电源要求：记录盒工作采用2节5号电池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2.1</w:t>
            </w:r>
            <w:r>
              <w:rPr>
                <w:rFonts w:hint="eastAsia" w:ascii="新宋体" w:hAnsi="新宋体" w:eastAsia="新宋体" w:cs="新宋体"/>
                <w:sz w:val="21"/>
                <w:szCs w:val="21"/>
                <w:lang w:val="en-US" w:eastAsia="zh-CN"/>
              </w:rPr>
              <w:t>1</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具备血压负荷报告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*2.1</w:t>
            </w:r>
            <w:r>
              <w:rPr>
                <w:rFonts w:hint="eastAsia" w:ascii="新宋体" w:hAnsi="新宋体" w:eastAsia="新宋体" w:cs="新宋体"/>
                <w:sz w:val="21"/>
                <w:szCs w:val="21"/>
                <w:lang w:val="en-US" w:eastAsia="zh-CN"/>
              </w:rPr>
              <w:t>2</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具备高血压自动分析功能（依据AHA、JNC7、EHS标准）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2.1</w:t>
            </w:r>
            <w:r>
              <w:rPr>
                <w:rFonts w:hint="eastAsia" w:ascii="新宋体" w:hAnsi="新宋体" w:eastAsia="新宋体" w:cs="新宋体"/>
                <w:sz w:val="21"/>
                <w:szCs w:val="21"/>
                <w:lang w:val="en-US" w:eastAsia="zh-CN"/>
              </w:rPr>
              <w:t>3</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具备白大衣现象自动分析功能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10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3</w:t>
            </w:r>
          </w:p>
        </w:tc>
        <w:tc>
          <w:tcPr>
            <w:tcW w:w="7371" w:type="dxa"/>
            <w:vAlign w:val="center"/>
          </w:tcPr>
          <w:p>
            <w:pPr>
              <w:spacing w:line="300" w:lineRule="exact"/>
              <w:rPr>
                <w:rFonts w:hint="eastAsia" w:ascii="新宋体" w:hAnsi="新宋体" w:eastAsia="新宋体" w:cs="新宋体"/>
                <w:sz w:val="21"/>
                <w:szCs w:val="21"/>
              </w:rPr>
            </w:pPr>
            <w:r>
              <w:rPr>
                <w:rFonts w:hint="eastAsia" w:ascii="新宋体" w:hAnsi="新宋体" w:eastAsia="新宋体" w:cs="新宋体"/>
                <w:sz w:val="21"/>
                <w:szCs w:val="21"/>
              </w:rPr>
              <w:t>必备配置：主机1套、激光打印机1套、动态血压分析软件1套、数据回放线1付、动态血压记录盒6只。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101" w:type="dxa"/>
            <w:vAlign w:val="center"/>
          </w:tcPr>
          <w:p>
            <w:pPr>
              <w:spacing w:line="300" w:lineRule="exac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7371" w:type="dxa"/>
            <w:vAlign w:val="center"/>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免费保修≧2年</w:t>
            </w:r>
            <w:r>
              <w:rPr>
                <w:rFonts w:hint="eastAsia" w:ascii="新宋体" w:hAnsi="新宋体" w:eastAsia="新宋体" w:cs="新宋体"/>
                <w:color w:val="000000"/>
                <w:kern w:val="0"/>
                <w:sz w:val="21"/>
                <w:szCs w:val="21"/>
              </w:rPr>
              <w:t>，保修期外提供终身维修，免人工维护费，维修配件优惠≧</w:t>
            </w:r>
            <w:r>
              <w:rPr>
                <w:rFonts w:hint="eastAsia" w:ascii="新宋体" w:hAnsi="新宋体" w:eastAsia="新宋体" w:cs="新宋体"/>
                <w:color w:val="000000"/>
                <w:kern w:val="0"/>
                <w:sz w:val="21"/>
                <w:szCs w:val="21"/>
                <w:lang w:eastAsia="zh-CN"/>
              </w:rPr>
              <w:t>七</w:t>
            </w:r>
            <w:r>
              <w:rPr>
                <w:rFonts w:hint="eastAsia" w:ascii="新宋体" w:hAnsi="新宋体" w:eastAsia="新宋体" w:cs="新宋体"/>
                <w:color w:val="000000"/>
                <w:kern w:val="0"/>
                <w:sz w:val="21"/>
                <w:szCs w:val="21"/>
              </w:rPr>
              <w:t>折</w:t>
            </w:r>
            <w:r>
              <w:rPr>
                <w:rFonts w:hint="eastAsia" w:ascii="新宋体" w:hAnsi="新宋体" w:eastAsia="新宋体" w:cs="新宋体"/>
                <w:color w:val="000000"/>
                <w:kern w:val="0"/>
                <w:sz w:val="21"/>
                <w:szCs w:val="21"/>
                <w:lang w:eastAsia="zh-CN"/>
              </w:rPr>
              <w:t>，</w:t>
            </w:r>
            <w:r>
              <w:rPr>
                <w:rFonts w:hint="eastAsia" w:ascii="新宋体" w:hAnsi="新宋体" w:eastAsia="新宋体" w:cs="新宋体"/>
                <w:color w:val="000000"/>
                <w:kern w:val="0"/>
                <w:sz w:val="21"/>
                <w:szCs w:val="21"/>
              </w:rPr>
              <w:t>评标时作为考虑</w:t>
            </w:r>
          </w:p>
          <w:p>
            <w:pPr>
              <w:spacing w:line="300" w:lineRule="exact"/>
              <w:rPr>
                <w:rFonts w:hint="eastAsia" w:ascii="新宋体" w:hAnsi="新宋体" w:eastAsia="新宋体" w:cs="新宋体"/>
                <w:sz w:val="21"/>
                <w:szCs w:val="21"/>
              </w:rPr>
            </w:pPr>
          </w:p>
        </w:tc>
      </w:tr>
    </w:tbl>
    <w:p>
      <w:pPr>
        <w:rPr>
          <w:rFonts w:hint="eastAsia" w:ascii="新宋体" w:hAnsi="新宋体" w:eastAsia="新宋体" w:cs="新宋体"/>
          <w:sz w:val="21"/>
          <w:szCs w:val="21"/>
        </w:rPr>
      </w:pPr>
    </w:p>
    <w:p>
      <w:pPr>
        <w:jc w:val="center"/>
        <w:rPr>
          <w:rFonts w:hint="eastAsia" w:ascii="宋体" w:hAnsi="宋体"/>
          <w:b/>
          <w:color w:val="FF0000"/>
          <w:sz w:val="24"/>
        </w:rPr>
      </w:pPr>
    </w:p>
    <w:p>
      <w:pPr>
        <w:numPr>
          <w:ilvl w:val="0"/>
          <w:numId w:val="0"/>
        </w:numPr>
        <w:jc w:val="left"/>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标段二：</w:t>
      </w:r>
    </w:p>
    <w:p>
      <w:p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 xml:space="preserve">   </w:t>
      </w:r>
    </w:p>
    <w:p>
      <w:pPr>
        <w:rPr>
          <w:rFonts w:hint="eastAsia" w:ascii="新宋体" w:hAnsi="新宋体" w:eastAsia="新宋体" w:cs="新宋体"/>
          <w:b w:val="0"/>
          <w:bCs w:val="0"/>
          <w:color w:val="auto"/>
          <w:sz w:val="21"/>
          <w:szCs w:val="21"/>
          <w:lang w:val="en-US" w:eastAsia="zh-CN"/>
        </w:rPr>
      </w:pPr>
    </w:p>
    <w:p>
      <w:pPr>
        <w:rPr>
          <w:rFonts w:hint="eastAsia" w:ascii="新宋体" w:hAnsi="新宋体" w:eastAsia="新宋体" w:cs="新宋体"/>
          <w:b w:val="0"/>
          <w:bCs w:val="0"/>
          <w:color w:val="auto"/>
          <w:sz w:val="21"/>
          <w:szCs w:val="21"/>
          <w:lang w:eastAsia="zh-CN"/>
        </w:rPr>
      </w:pPr>
      <w:r>
        <w:rPr>
          <w:rFonts w:hint="eastAsia" w:ascii="新宋体" w:hAnsi="新宋体" w:eastAsia="新宋体" w:cs="新宋体"/>
          <w:b/>
          <w:bCs/>
          <w:color w:val="auto"/>
          <w:sz w:val="21"/>
          <w:szCs w:val="21"/>
          <w:lang w:val="en-US" w:eastAsia="zh-CN"/>
        </w:rPr>
        <w:t>（一）</w:t>
      </w:r>
      <w:r>
        <w:rPr>
          <w:rFonts w:hint="eastAsia" w:ascii="新宋体" w:hAnsi="新宋体" w:eastAsia="新宋体" w:cs="新宋体"/>
          <w:b/>
          <w:bCs/>
          <w:color w:val="auto"/>
          <w:sz w:val="21"/>
          <w:szCs w:val="21"/>
          <w:lang w:eastAsia="zh-CN"/>
        </w:rPr>
        <w:t>除颤监护参数</w:t>
      </w:r>
    </w:p>
    <w:tbl>
      <w:tblPr>
        <w:tblStyle w:val="13"/>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666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54" w:type="dxa"/>
            <w:vAlign w:val="center"/>
          </w:tcPr>
          <w:p>
            <w:pPr>
              <w:widowControl/>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序号</w:t>
            </w:r>
          </w:p>
        </w:tc>
        <w:tc>
          <w:tcPr>
            <w:tcW w:w="6660" w:type="dxa"/>
            <w:vAlign w:val="center"/>
          </w:tcPr>
          <w:p>
            <w:pPr>
              <w:widowControl/>
              <w:jc w:val="left"/>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招标要求</w:t>
            </w:r>
          </w:p>
        </w:tc>
        <w:tc>
          <w:tcPr>
            <w:tcW w:w="1515" w:type="dxa"/>
            <w:vAlign w:val="center"/>
          </w:tcPr>
          <w:p>
            <w:pPr>
              <w:widowControl/>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具备手动除颤、心电监护、呼吸监护、自动体外除颤（AED）功能。</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2</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整机带电极板、锂电池</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3</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除颤采用双相波技术，具备自动阻抗补偿功能。</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4</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手动除颤分为同步和非同步两种方式，能量分20档以上，可通过体外电极板进行能量选择，最大能量值360J.</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5</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除颤充电迅速，充电至200J&lt;5s。</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6</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配置体外起搏功能，起搏分为固定和按需两种模式。具备慢速起搏功能。</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7</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CPR辅助功能，可指导CPR操作，符合2010国际CPR指南要求。</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8</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心电波形扫描时间&gt;10s，扫描长度&gt;100mm。</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9</w:t>
            </w:r>
            <w:r>
              <w:rPr>
                <w:rFonts w:hint="eastAsia" w:ascii="新宋体" w:hAnsi="新宋体" w:eastAsia="新宋体" w:cs="新宋体"/>
                <w:b w:val="0"/>
                <w:bCs w:val="0"/>
                <w:color w:val="auto"/>
                <w:kern w:val="0"/>
                <w:sz w:val="21"/>
                <w:szCs w:val="21"/>
                <w:lang w:val="en-US" w:eastAsia="zh-CN"/>
              </w:rPr>
              <w:t>*</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标配心电、血氧饱和度、血压监护功能。</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10</w:t>
            </w:r>
          </w:p>
        </w:tc>
        <w:tc>
          <w:tcPr>
            <w:tcW w:w="6660" w:type="dxa"/>
            <w:vAlign w:val="center"/>
          </w:tcPr>
          <w:p>
            <w:pPr>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可充电锂电池，支持100次以上200J除颤。</w:t>
            </w:r>
          </w:p>
        </w:tc>
        <w:tc>
          <w:tcPr>
            <w:tcW w:w="1515" w:type="dxa"/>
            <w:vAlign w:val="top"/>
          </w:tcPr>
          <w:p>
            <w:pPr>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11</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具备生理报警和技术报警功能，通过声音、灯光等多种方式进行报警。</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12</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成人、小儿一体化电极板，可选用除颤起搏监护多功能电极片。</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13</w:t>
            </w:r>
          </w:p>
        </w:tc>
        <w:tc>
          <w:tcPr>
            <w:tcW w:w="6660" w:type="dxa"/>
            <w:vAlign w:val="center"/>
          </w:tcPr>
          <w:p>
            <w:pPr>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支持中文操作界面、AED中文语音提示。</w:t>
            </w:r>
          </w:p>
        </w:tc>
        <w:tc>
          <w:tcPr>
            <w:tcW w:w="1515" w:type="dxa"/>
            <w:vAlign w:val="top"/>
          </w:tcPr>
          <w:p>
            <w:pPr>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14</w:t>
            </w:r>
            <w:r>
              <w:rPr>
                <w:rFonts w:hint="eastAsia" w:ascii="新宋体" w:hAnsi="新宋体" w:eastAsia="新宋体" w:cs="新宋体"/>
                <w:b w:val="0"/>
                <w:bCs w:val="0"/>
                <w:color w:val="auto"/>
                <w:kern w:val="0"/>
                <w:sz w:val="21"/>
                <w:szCs w:val="21"/>
                <w:lang w:val="en-US" w:eastAsia="zh-CN"/>
              </w:rPr>
              <w:t>*</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彩色TFT显示屏&gt;7”, 分辨率≧640×480，最多可显示3通道监护参数波形，有高对比度显示界面。</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15</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50mm记录仪，自动打印除颤记录，可延迟打印心电，延迟时间&gt;10s。</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16</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可存储24小时连续ECG波形，数据可导出至电脑查看。</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17</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关机状态下设备可自动运行自检，支持大能量自检（不低于150J）、屏幕、按键检测。</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18</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可在-10ºC环境正常工作，存储温度-30～70ºC。</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19</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符合除颤国际专用安全标准IEC60601-2-4:2002。</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20</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符合欧盟救护车标准EN1789:2007。</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21</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具备良好的防水性能，防水级别IPX4。</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54" w:type="dxa"/>
            <w:vAlign w:val="center"/>
          </w:tcPr>
          <w:p>
            <w:pPr>
              <w:jc w:val="center"/>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22</w:t>
            </w:r>
          </w:p>
        </w:tc>
        <w:tc>
          <w:tcPr>
            <w:tcW w:w="6660" w:type="dxa"/>
            <w:vAlign w:val="center"/>
          </w:tcPr>
          <w:p>
            <w:pPr>
              <w:widowControl/>
              <w:spacing w:line="480" w:lineRule="exact"/>
              <w:jc w:val="both"/>
              <w:rPr>
                <w:rFonts w:hint="eastAsia" w:ascii="新宋体" w:hAnsi="新宋体" w:eastAsia="新宋体" w:cs="新宋体"/>
                <w:b w:val="0"/>
                <w:bCs w:val="0"/>
                <w:color w:val="auto"/>
                <w:kern w:val="0"/>
                <w:sz w:val="21"/>
                <w:szCs w:val="21"/>
              </w:rPr>
            </w:pPr>
            <w:r>
              <w:rPr>
                <w:rFonts w:hint="eastAsia" w:ascii="新宋体" w:hAnsi="新宋体" w:eastAsia="新宋体" w:cs="新宋体"/>
                <w:b w:val="0"/>
                <w:bCs w:val="0"/>
                <w:color w:val="auto"/>
                <w:kern w:val="0"/>
                <w:sz w:val="21"/>
                <w:szCs w:val="21"/>
              </w:rPr>
              <w:t>具备优异的抗跌落性能，裸机可承受0.75m跌落冲击。</w:t>
            </w: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54" w:type="dxa"/>
            <w:vAlign w:val="center"/>
          </w:tcPr>
          <w:p>
            <w:pPr>
              <w:jc w:val="center"/>
              <w:rPr>
                <w:rFonts w:hint="eastAsia" w:ascii="新宋体" w:hAnsi="新宋体" w:eastAsia="新宋体" w:cs="新宋体"/>
                <w:b w:val="0"/>
                <w:bCs w:val="0"/>
                <w:color w:val="auto"/>
                <w:kern w:val="0"/>
                <w:sz w:val="21"/>
                <w:szCs w:val="21"/>
                <w:lang w:val="en-US" w:eastAsia="zh-CN"/>
              </w:rPr>
            </w:pPr>
            <w:r>
              <w:rPr>
                <w:rFonts w:hint="eastAsia" w:ascii="新宋体" w:hAnsi="新宋体" w:eastAsia="新宋体" w:cs="新宋体"/>
                <w:b w:val="0"/>
                <w:bCs w:val="0"/>
                <w:color w:val="auto"/>
                <w:kern w:val="0"/>
                <w:sz w:val="21"/>
                <w:szCs w:val="21"/>
                <w:lang w:val="en-US" w:eastAsia="zh-CN"/>
              </w:rPr>
              <w:t>23</w:t>
            </w:r>
          </w:p>
        </w:tc>
        <w:tc>
          <w:tcPr>
            <w:tcW w:w="6660" w:type="dxa"/>
            <w:vAlign w:val="center"/>
          </w:tcPr>
          <w:p>
            <w:pPr>
              <w:tabs>
                <w:tab w:val="left" w:pos="1260"/>
              </w:tabs>
              <w:rPr>
                <w:rFonts w:ascii="新宋体" w:hAnsi="新宋体" w:eastAsia="新宋体" w:cs="新宋体"/>
              </w:rPr>
            </w:pPr>
            <w:r>
              <w:rPr>
                <w:rFonts w:hint="eastAsia" w:ascii="新宋体" w:hAnsi="新宋体" w:eastAsia="新宋体" w:cs="新宋体"/>
              </w:rPr>
              <w:t>所有封闭耗材、配件及后续服务按今后当时市场价的统一折扣率</w:t>
            </w:r>
            <w:r>
              <w:rPr>
                <w:rFonts w:hint="eastAsia" w:ascii="新宋体" w:hAnsi="新宋体" w:eastAsia="新宋体" w:cs="新宋体"/>
                <w:u w:val="single"/>
                <w:lang w:val="en-US" w:eastAsia="zh-CN"/>
              </w:rPr>
              <w:t xml:space="preserve">    </w:t>
            </w:r>
            <w:r>
              <w:rPr>
                <w:rFonts w:hint="eastAsia" w:ascii="新宋体" w:hAnsi="新宋体" w:eastAsia="新宋体" w:cs="新宋体"/>
              </w:rPr>
              <w:t>折优惠</w:t>
            </w:r>
          </w:p>
          <w:p>
            <w:pPr>
              <w:tabs>
                <w:tab w:val="left" w:pos="1260"/>
              </w:tabs>
              <w:rPr>
                <w:rFonts w:hint="eastAsia" w:ascii="新宋体" w:hAnsi="新宋体" w:eastAsia="新宋体" w:cs="新宋体"/>
                <w:b w:val="0"/>
                <w:bCs w:val="0"/>
                <w:color w:val="auto"/>
                <w:kern w:val="0"/>
                <w:sz w:val="21"/>
                <w:szCs w:val="21"/>
              </w:rPr>
            </w:pPr>
          </w:p>
        </w:tc>
        <w:tc>
          <w:tcPr>
            <w:tcW w:w="1515" w:type="dxa"/>
            <w:vAlign w:val="top"/>
          </w:tcPr>
          <w:p>
            <w:pPr>
              <w:widowControl/>
              <w:spacing w:line="480" w:lineRule="exact"/>
              <w:jc w:val="left"/>
              <w:rPr>
                <w:rFonts w:hint="eastAsia" w:ascii="新宋体" w:hAnsi="新宋体" w:eastAsia="新宋体" w:cs="新宋体"/>
                <w:b w:val="0"/>
                <w:bCs w:val="0"/>
                <w:color w:val="auto"/>
                <w:kern w:val="0"/>
                <w:sz w:val="21"/>
                <w:szCs w:val="21"/>
              </w:rPr>
            </w:pPr>
            <w:r>
              <w:rPr>
                <w:rFonts w:hint="eastAsia" w:ascii="新宋体" w:hAnsi="新宋体" w:eastAsia="新宋体" w:cs="新宋体"/>
                <w:lang w:eastAsia="zh-CN"/>
              </w:rPr>
              <w:t>（</w:t>
            </w:r>
            <w:r>
              <w:rPr>
                <w:rFonts w:hint="eastAsia" w:ascii="新宋体" w:hAnsi="新宋体" w:eastAsia="新宋体" w:cs="新宋体"/>
                <w:sz w:val="18"/>
                <w:szCs w:val="18"/>
              </w:rPr>
              <w:t>请写明统一折扣，评分时体现</w:t>
            </w:r>
            <w:r>
              <w:rPr>
                <w:rFonts w:hint="eastAsia" w:ascii="新宋体" w:hAnsi="新宋体" w:eastAsia="新宋体" w:cs="新宋体"/>
                <w:sz w:val="18"/>
                <w:szCs w:val="18"/>
                <w:lang w:eastAsia="zh-CN"/>
              </w:rPr>
              <w:t>）</w:t>
            </w:r>
          </w:p>
        </w:tc>
      </w:tr>
    </w:tbl>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bCs/>
          <w:color w:val="auto"/>
          <w:sz w:val="21"/>
          <w:szCs w:val="21"/>
          <w:lang w:eastAsia="zh-CN"/>
        </w:rPr>
      </w:pPr>
      <w:r>
        <w:rPr>
          <w:rFonts w:hint="eastAsia" w:ascii="新宋体" w:hAnsi="新宋体" w:eastAsia="新宋体" w:cs="新宋体"/>
          <w:b/>
          <w:bCs/>
          <w:color w:val="auto"/>
          <w:sz w:val="21"/>
          <w:szCs w:val="21"/>
          <w:lang w:eastAsia="zh-CN"/>
        </w:rPr>
        <w:t>（二）心电图机参数</w:t>
      </w:r>
    </w:p>
    <w:p>
      <w:pPr>
        <w:rPr>
          <w:rFonts w:hint="eastAsia" w:ascii="新宋体" w:hAnsi="新宋体" w:eastAsia="新宋体" w:cs="新宋体"/>
          <w:b w:val="0"/>
          <w:bCs w:val="0"/>
          <w:color w:val="auto"/>
          <w:sz w:val="21"/>
          <w:szCs w:val="21"/>
          <w:lang w:eastAsia="zh-CN"/>
        </w:rPr>
      </w:pPr>
    </w:p>
    <w:tbl>
      <w:tblPr>
        <w:tblStyle w:val="13"/>
        <w:tblpPr w:leftFromText="180" w:rightFromText="180" w:vertAnchor="page" w:horzAnchor="page" w:tblpX="1792" w:tblpY="2216"/>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lang w:eastAsia="zh-CN"/>
              </w:rPr>
              <w:t>心电图机</w:t>
            </w:r>
            <w:r>
              <w:rPr>
                <w:rFonts w:hint="eastAsia" w:ascii="新宋体" w:hAnsi="新宋体" w:eastAsia="新宋体" w:cs="新宋体"/>
                <w:b w:val="0"/>
                <w:bCs w:val="0"/>
                <w:color w:val="auto"/>
                <w:sz w:val="21"/>
                <w:szCs w:val="21"/>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1.12导联同步采集\同步打印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2.频响：0.05Hz～250Hz, 高记录精度.，更适合采集儿童心电波形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3.输入阻抗：≥50MΩ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4.共模抑制比：≥100dB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5.灵敏度：2.5、5、10、20、10/5mm/mV及自动;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6.滤波功能：具有交流、肌电和漂移滤波功能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7.输入电路：浮地输入，具有抗除颤电击防护功能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8.新一代采集系统，独立外置到联盒，有效避免干扰，导联盒具有按键，可快速操作，更节省时间，导联线可单独拔插，维修、更换方便快捷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 xml:space="preserve">9.支持XML、JPG等多种数据格式，方便网络连接。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10.超长时间电影回放，支持300秒钟波形冻结、全息电影回放，方便异常心电波形扑捉。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11.支持冻结模式下选择1道、3道、12道波形打印，方便选取最有用波形。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12.特有观察模式，特有手动/自动心率不齐检查，可自动检测并打印心率不齐波形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13.高清彩色手写触摸屏≧8寸，1:1等比例背景网格显示，可直观获取心电波形、病人信息。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14.屏幕可显示三、六、12道波形切换显示，满足扑捉不同心电波形的诊断需求。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15.多种信息输入方式，高性能手写触摸屏，快速相应操作，标准pc键盘配合快捷功能键。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16.成人\儿童专用分析算法、明尼苏达码编码系统，分析更准确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17.支持心率不齐检查、R-R分析、Cabrera等多种测量、分析报告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18.多种数据存储方式，内部存储≥200份病历，并支持大容量SD卡、U盘等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19.支持外接扫描枪，轻轻一扫，完成条码等输入。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spacing w:line="360" w:lineRule="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20.支持通过WIFI、3G等多种上传和下载心电文件。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textDirection w:val="lrTb"/>
            <w:vAlign w:val="center"/>
          </w:tcPr>
          <w:p>
            <w:pPr>
              <w:tabs>
                <w:tab w:val="left" w:pos="1260"/>
              </w:tabs>
              <w:rPr>
                <w:rFonts w:ascii="新宋体" w:hAnsi="新宋体" w:eastAsia="新宋体" w:cs="新宋体"/>
              </w:rPr>
            </w:pPr>
            <w:r>
              <w:rPr>
                <w:rFonts w:hint="eastAsia" w:ascii="新宋体" w:hAnsi="新宋体" w:eastAsia="新宋体" w:cs="新宋体"/>
                <w:b w:val="0"/>
                <w:bCs w:val="0"/>
                <w:color w:val="auto"/>
                <w:sz w:val="21"/>
                <w:szCs w:val="21"/>
                <w:lang w:val="en-US" w:eastAsia="zh-CN"/>
              </w:rPr>
              <w:t>21.</w:t>
            </w:r>
            <w:r>
              <w:rPr>
                <w:rFonts w:hint="eastAsia" w:ascii="新宋体" w:hAnsi="新宋体" w:eastAsia="新宋体" w:cs="新宋体"/>
              </w:rPr>
              <w:t>所有封闭耗材、配件及后续服务按今后当时市场价的统一折扣率</w:t>
            </w:r>
            <w:r>
              <w:rPr>
                <w:rFonts w:hint="eastAsia" w:ascii="新宋体" w:hAnsi="新宋体" w:eastAsia="新宋体" w:cs="新宋体"/>
                <w:u w:val="single"/>
                <w:lang w:val="en-US" w:eastAsia="zh-CN"/>
              </w:rPr>
              <w:t xml:space="preserve">    </w:t>
            </w:r>
            <w:r>
              <w:rPr>
                <w:rFonts w:hint="eastAsia" w:ascii="新宋体" w:hAnsi="新宋体" w:eastAsia="新宋体" w:cs="新宋体"/>
              </w:rPr>
              <w:t>折优惠</w:t>
            </w:r>
            <w:r>
              <w:rPr>
                <w:rFonts w:hint="eastAsia" w:ascii="新宋体" w:hAnsi="新宋体" w:eastAsia="新宋体" w:cs="新宋体"/>
                <w:lang w:eastAsia="zh-CN"/>
              </w:rPr>
              <w:t>（</w:t>
            </w:r>
            <w:r>
              <w:rPr>
                <w:rFonts w:hint="eastAsia" w:ascii="新宋体" w:hAnsi="新宋体" w:eastAsia="新宋体" w:cs="新宋体"/>
              </w:rPr>
              <w:t>请写明统一折扣，评分时体现</w:t>
            </w:r>
            <w:r>
              <w:rPr>
                <w:rFonts w:hint="eastAsia" w:ascii="新宋体" w:hAnsi="新宋体" w:eastAsia="新宋体" w:cs="新宋体"/>
                <w:lang w:eastAsia="zh-CN"/>
              </w:rPr>
              <w:t>）</w:t>
            </w:r>
          </w:p>
          <w:p>
            <w:pPr>
              <w:tabs>
                <w:tab w:val="left" w:pos="1260"/>
              </w:tabs>
              <w:rPr>
                <w:rFonts w:hint="eastAsia" w:ascii="新宋体" w:hAnsi="新宋体" w:eastAsia="新宋体" w:cs="新宋体"/>
                <w:b w:val="0"/>
                <w:bCs w:val="0"/>
                <w:color w:val="auto"/>
                <w:sz w:val="21"/>
                <w:szCs w:val="21"/>
                <w:lang w:val="en-US" w:eastAsia="zh-CN"/>
              </w:rPr>
            </w:pPr>
          </w:p>
        </w:tc>
      </w:tr>
    </w:tbl>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bCs/>
          <w:color w:val="auto"/>
          <w:sz w:val="21"/>
          <w:szCs w:val="21"/>
          <w:lang w:eastAsia="zh-CN"/>
        </w:rPr>
      </w:pPr>
      <w:r>
        <w:rPr>
          <w:rFonts w:hint="eastAsia" w:ascii="新宋体" w:hAnsi="新宋体" w:eastAsia="新宋体" w:cs="新宋体"/>
          <w:b/>
          <w:bCs/>
          <w:color w:val="auto"/>
          <w:sz w:val="21"/>
          <w:szCs w:val="21"/>
          <w:lang w:eastAsia="zh-CN"/>
        </w:rPr>
        <w:t>（三）胎儿监护仪参数</w:t>
      </w:r>
    </w:p>
    <w:tbl>
      <w:tblPr>
        <w:tblStyle w:val="12"/>
        <w:tblW w:w="938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6975"/>
        <w:gridCol w:w="15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811" w:type="dxa"/>
            <w:gridSpan w:val="2"/>
            <w:tcBorders>
              <w:top w:val="double" w:color="auto" w:sz="4" w:space="0"/>
              <w:right w:val="single" w:color="auto" w:sz="4" w:space="0"/>
            </w:tcBorders>
            <w:vAlign w:val="center"/>
          </w:tcPr>
          <w:p>
            <w:pPr>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胎儿监护仪参数</w:t>
            </w:r>
          </w:p>
        </w:tc>
        <w:tc>
          <w:tcPr>
            <w:tcW w:w="1571" w:type="dxa"/>
            <w:tcBorders>
              <w:top w:val="double" w:color="auto" w:sz="4" w:space="0"/>
              <w:left w:val="double" w:color="auto" w:sz="4" w:space="0"/>
              <w:right w:val="single" w:color="auto" w:sz="4" w:space="0"/>
            </w:tcBorders>
            <w:vAlign w:val="center"/>
          </w:tcPr>
          <w:p>
            <w:pPr>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主要性能</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可监测参数：胎心率(FHR)、宫缩压力(TOCO)、胎动(FM)，</w:t>
            </w:r>
            <w:r>
              <w:rPr>
                <w:rFonts w:hint="eastAsia" w:ascii="新宋体" w:hAnsi="新宋体" w:eastAsia="新宋体" w:cs="新宋体"/>
                <w:b w:val="0"/>
                <w:bCs w:val="0"/>
                <w:color w:val="auto"/>
                <w:sz w:val="21"/>
                <w:szCs w:val="21"/>
                <w:lang w:eastAsia="zh-CN"/>
              </w:rPr>
              <w:t>标</w:t>
            </w:r>
            <w:r>
              <w:rPr>
                <w:rFonts w:hint="eastAsia" w:ascii="新宋体" w:hAnsi="新宋体" w:eastAsia="新宋体" w:cs="新宋体"/>
                <w:b w:val="0"/>
                <w:bCs w:val="0"/>
                <w:color w:val="auto"/>
                <w:sz w:val="21"/>
                <w:szCs w:val="21"/>
              </w:rPr>
              <w:t>配双胞胎以及孕妇心电(MECG)、血氧饱和度(SpO2)、脉率(PR)和无创血压(NIBP)</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1.2</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分体探头，拔插式连接，使用方便</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1.3</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多晶片宽波束脉冲波探头，专用数字信号处理技术</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1.4</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具有手动胎动标记和自动胎动功能，能生成自动胎动图</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1.5</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具有手动胎动标记提示音功能</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1.6</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可存储72个小时以上的数据，600组NIBP数据</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1.7</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具有自动声光报警功能，报警上下限可设置</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1.8</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内置记录仪，150mmZ形褶折记录纸，兼容美国和国际两种刻度类型</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1.9</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双胞胎监护时，双胎心率曲线可以选择偏移显示和打印</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1.10</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可以选配胎儿唤醒器</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1.11</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可以选配升级母体FAST血氧监护技术，防抖动和抗低灌注性能优异</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1.12</w:t>
            </w:r>
          </w:p>
        </w:tc>
        <w:tc>
          <w:tcPr>
            <w:tcW w:w="6975" w:type="dxa"/>
            <w:tcBorders>
              <w:right w:val="single" w:color="auto" w:sz="4" w:space="0"/>
            </w:tcBorders>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可以选配锂电池，持续供电可达4小时</w:t>
            </w:r>
          </w:p>
        </w:tc>
        <w:tc>
          <w:tcPr>
            <w:tcW w:w="1571" w:type="dxa"/>
            <w:tcBorders>
              <w:right w:val="single" w:color="auto" w:sz="4" w:space="0"/>
            </w:tcBorders>
            <w:vAlign w:val="center"/>
          </w:tcPr>
          <w:p>
            <w:pPr>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1.13</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可以LAN方式与中央监护仪连接构成中央监护系统</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显示</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2.1</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7”彩色大屏幕TFT显示</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2.2</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显示通道≥3个</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胎心率</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3.1</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测量范围、误差：50bpm～240bpm、±1bpm</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3.2</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超声频率：1 MHz</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3.3</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超声强度：＜5mW/cm</w:t>
            </w:r>
            <w:r>
              <w:rPr>
                <w:rFonts w:hint="eastAsia" w:ascii="新宋体" w:hAnsi="新宋体" w:eastAsia="新宋体" w:cs="新宋体"/>
                <w:b w:val="0"/>
                <w:bCs w:val="0"/>
                <w:color w:val="auto"/>
                <w:sz w:val="21"/>
                <w:szCs w:val="21"/>
                <w:vertAlign w:val="superscript"/>
              </w:rPr>
              <w:t>2</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宫缩压力</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4.1</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测量范围、误差：0～100单位、±10%</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4.2</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宫缩基线：5/10/15/20可调</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胎动</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5.1</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方式：手动胎动标记/自动胎动图可选</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w:t>
            </w:r>
          </w:p>
        </w:tc>
        <w:tc>
          <w:tcPr>
            <w:tcW w:w="6975" w:type="dxa"/>
            <w:tcBorders>
              <w:right w:val="single" w:color="auto" w:sz="4" w:space="0"/>
            </w:tcBorders>
          </w:tcPr>
          <w:p>
            <w:pPr>
              <w:tabs>
                <w:tab w:val="left" w:pos="1260"/>
              </w:tabs>
              <w:rPr>
                <w:rFonts w:hint="eastAsia" w:ascii="新宋体" w:hAnsi="新宋体" w:eastAsia="新宋体" w:cs="新宋体"/>
              </w:rPr>
            </w:pPr>
            <w:r>
              <w:rPr>
                <w:rFonts w:hint="eastAsia" w:ascii="新宋体" w:hAnsi="新宋体" w:eastAsia="新宋体" w:cs="新宋体"/>
              </w:rPr>
              <w:t>所有封闭耗材、配件及后续服务按今后当时市场价的统一</w:t>
            </w:r>
          </w:p>
          <w:p>
            <w:pPr>
              <w:tabs>
                <w:tab w:val="left" w:pos="1260"/>
              </w:tabs>
              <w:rPr>
                <w:rFonts w:hint="eastAsia" w:ascii="新宋体" w:hAnsi="新宋体" w:eastAsia="新宋体" w:cs="新宋体"/>
                <w:b w:val="0"/>
                <w:bCs w:val="0"/>
                <w:color w:val="auto"/>
                <w:sz w:val="21"/>
                <w:szCs w:val="21"/>
              </w:rPr>
            </w:pPr>
            <w:r>
              <w:rPr>
                <w:rFonts w:hint="eastAsia" w:ascii="新宋体" w:hAnsi="新宋体" w:eastAsia="新宋体" w:cs="新宋体"/>
              </w:rPr>
              <w:t>折扣率</w:t>
            </w:r>
            <w:r>
              <w:rPr>
                <w:rFonts w:hint="eastAsia" w:ascii="新宋体" w:hAnsi="新宋体" w:eastAsia="新宋体" w:cs="新宋体"/>
                <w:u w:val="single"/>
                <w:lang w:val="en-US" w:eastAsia="zh-CN"/>
              </w:rPr>
              <w:t xml:space="preserve">    </w:t>
            </w:r>
            <w:r>
              <w:rPr>
                <w:rFonts w:hint="eastAsia" w:ascii="新宋体" w:hAnsi="新宋体" w:eastAsia="新宋体" w:cs="新宋体"/>
                <w:lang w:val="en-US" w:eastAsia="zh-CN"/>
              </w:rPr>
              <w:t xml:space="preserve"> </w:t>
            </w:r>
            <w:r>
              <w:rPr>
                <w:rFonts w:hint="eastAsia" w:ascii="新宋体" w:hAnsi="新宋体" w:eastAsia="新宋体" w:cs="新宋体"/>
              </w:rPr>
              <w:t>折优惠</w:t>
            </w:r>
          </w:p>
        </w:tc>
        <w:tc>
          <w:tcPr>
            <w:tcW w:w="1571" w:type="dxa"/>
            <w:tcBorders>
              <w:right w:val="single" w:color="auto" w:sz="4" w:space="0"/>
            </w:tcBorders>
            <w:vAlign w:val="center"/>
          </w:tcPr>
          <w:p>
            <w:pPr>
              <w:tabs>
                <w:tab w:val="left" w:pos="1260"/>
              </w:tabs>
              <w:rPr>
                <w:rFonts w:hint="eastAsia" w:ascii="新宋体" w:hAnsi="新宋体" w:eastAsia="新宋体" w:cs="新宋体"/>
                <w:b w:val="0"/>
                <w:bCs w:val="0"/>
                <w:color w:val="auto"/>
                <w:sz w:val="21"/>
                <w:szCs w:val="21"/>
              </w:rPr>
            </w:pPr>
            <w:r>
              <w:rPr>
                <w:rFonts w:hint="eastAsia" w:ascii="新宋体" w:hAnsi="新宋体" w:eastAsia="新宋体" w:cs="新宋体"/>
                <w:lang w:eastAsia="zh-CN"/>
              </w:rPr>
              <w:t>（</w:t>
            </w:r>
            <w:r>
              <w:rPr>
                <w:rFonts w:hint="eastAsia" w:ascii="新宋体" w:hAnsi="新宋体" w:eastAsia="新宋体" w:cs="新宋体"/>
              </w:rPr>
              <w:t>请写明统一折扣，评分时体现</w:t>
            </w:r>
            <w:r>
              <w:rPr>
                <w:rFonts w:hint="eastAsia" w:ascii="新宋体" w:hAnsi="新宋体" w:eastAsia="新宋体" w:cs="新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36"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7.</w:t>
            </w:r>
          </w:p>
        </w:tc>
        <w:tc>
          <w:tcPr>
            <w:tcW w:w="6975" w:type="dxa"/>
            <w:tcBorders>
              <w:right w:val="single" w:color="auto" w:sz="4" w:space="0"/>
            </w:tcBorders>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公司通过ISO13485、ISO9001质量管理体系和ISO14001环境管理体系认证</w:t>
            </w:r>
          </w:p>
        </w:tc>
        <w:tc>
          <w:tcPr>
            <w:tcW w:w="1571" w:type="dxa"/>
            <w:tcBorders>
              <w:right w:val="single" w:color="auto" w:sz="4" w:space="0"/>
            </w:tcBorders>
            <w:vAlign w:val="center"/>
          </w:tcPr>
          <w:p>
            <w:pPr>
              <w:widowControl/>
              <w:rPr>
                <w:rFonts w:hint="eastAsia" w:ascii="新宋体" w:hAnsi="新宋体" w:eastAsia="新宋体" w:cs="新宋体"/>
                <w:b w:val="0"/>
                <w:bCs w:val="0"/>
                <w:color w:val="auto"/>
                <w:sz w:val="21"/>
                <w:szCs w:val="21"/>
              </w:rPr>
            </w:pPr>
          </w:p>
        </w:tc>
      </w:tr>
    </w:tbl>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bCs/>
          <w:color w:val="auto"/>
          <w:sz w:val="21"/>
          <w:szCs w:val="21"/>
          <w:lang w:eastAsia="zh-CN"/>
        </w:rPr>
      </w:pPr>
      <w:r>
        <w:rPr>
          <w:rFonts w:hint="eastAsia" w:ascii="新宋体" w:hAnsi="新宋体" w:eastAsia="新宋体" w:cs="新宋体"/>
          <w:b/>
          <w:bCs/>
          <w:color w:val="auto"/>
          <w:sz w:val="21"/>
          <w:szCs w:val="21"/>
          <w:lang w:eastAsia="zh-CN"/>
        </w:rPr>
        <w:t>（四）胎儿监护仪（一拖四）技术参数</w:t>
      </w:r>
    </w:p>
    <w:tbl>
      <w:tblPr>
        <w:tblStyle w:val="12"/>
        <w:tblpPr w:leftFromText="180" w:rightFromText="180" w:vertAnchor="text" w:horzAnchor="page" w:tblpX="1802" w:tblpY="684"/>
        <w:tblOverlap w:val="never"/>
        <w:tblW w:w="85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6"/>
        <w:gridCol w:w="5848"/>
        <w:gridCol w:w="976"/>
        <w:gridCol w:w="8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序号</w:t>
            </w:r>
          </w:p>
        </w:tc>
        <w:tc>
          <w:tcPr>
            <w:tcW w:w="5848"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技术规格</w:t>
            </w:r>
          </w:p>
        </w:tc>
        <w:tc>
          <w:tcPr>
            <w:tcW w:w="97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投标规格</w:t>
            </w:r>
          </w:p>
        </w:tc>
        <w:tc>
          <w:tcPr>
            <w:tcW w:w="868"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ind w:firstLine="105" w:firstLineChars="50"/>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一</w:t>
            </w:r>
          </w:p>
        </w:tc>
        <w:tc>
          <w:tcPr>
            <w:tcW w:w="5848" w:type="dxa"/>
            <w:vAlign w:val="center"/>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shd w:val="clear" w:color="auto" w:fill="FFFFFF"/>
              </w:rPr>
              <w:t>中央站（一套）</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w:t>
            </w:r>
          </w:p>
        </w:tc>
        <w:tc>
          <w:tcPr>
            <w:tcW w:w="5848" w:type="dxa"/>
            <w:vAlign w:val="center"/>
          </w:tcPr>
          <w:p>
            <w:pPr>
              <w:spacing w:line="360" w:lineRule="exact"/>
              <w:jc w:val="left"/>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可监测胎心率（双胎心率FHR1、FHR2）、宫缩压力(TOCO)、孕妇血压(NIBP)、孕妇血氧(SP02)、孕妇脉率(PR)、胎动(FM)等参数</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ind w:firstLine="105" w:firstLineChars="50"/>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总线制通讯接口，可同时监护多至16个床位，支持双屏，双屏可同时监护多至32个床位</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ind w:firstLine="105" w:firstLineChars="50"/>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1.2</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可组建多中央站/观察站联合监护系统，当床边机在各病区之间自由移动时，都可以像在本病区一样实时监护</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ind w:firstLine="105" w:firstLineChars="50"/>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 xml:space="preserve"> 2</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监护功能：</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2.1</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全产程、实时、多床位显示和记录床边监护仪的数字和曲线，自动判断有效监护数据进行智能显示和报警，床边工作状态、信号质量、监护信息等；</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 xml:space="preserve"> 2.2</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智能走纸技术，自动记录有效数据</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2.3</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胎监/母胎监护/母亲监护三种监护版面，适合产前监护、产时监护、产后监护不同需要，最多能同屏显示7道波形</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2.4</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具有监护计时提醒功能，10、20、30、40、50、60分钟可选</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2.5</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FMExpert 专家分析功能，支持4 种评分标准</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2.6</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OBManage 产科信息管理系统</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操作系统：</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3.1</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中文/英文操作界面，界面简洁，易学易用</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存储功能：</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4.1</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具有强大的数据库，海量存储，全程CTG浏览，便于快速了解整体监护情况，贮存全产程所有数据，提供完整的分娩记录，并可选段诊断、打印</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4.2</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回放功能：支持自动播放CTG，可回放24小时CTG和母亲生命体征趋势</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报警功能：</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5.1</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符合国际标准的三级声光处理系统，母亲/胎儿参数报警，报警界限根据需要可调节；</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5.2</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SOV（信号重合）报警功能</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打印功能：</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6.1</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高质量、高速度的激光打印系统；支持选段打印</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6.2</w:t>
            </w:r>
          </w:p>
        </w:tc>
        <w:tc>
          <w:tcPr>
            <w:tcW w:w="5848" w:type="dxa"/>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能打印趋势图表、产程图</w:t>
            </w:r>
            <w:r>
              <w:rPr>
                <w:rFonts w:hint="eastAsia" w:ascii="新宋体" w:hAnsi="新宋体" w:eastAsia="新宋体" w:cs="新宋体"/>
                <w:b w:val="0"/>
                <w:bCs w:val="0"/>
                <w:color w:val="auto"/>
                <w:sz w:val="21"/>
                <w:szCs w:val="21"/>
                <w:lang w:eastAsia="zh-CN"/>
              </w:rPr>
              <w:t>、</w:t>
            </w:r>
            <w:r>
              <w:rPr>
                <w:rFonts w:hint="eastAsia" w:ascii="新宋体" w:hAnsi="新宋体" w:eastAsia="新宋体" w:cs="新宋体"/>
                <w:b w:val="0"/>
                <w:bCs w:val="0"/>
                <w:color w:val="auto"/>
                <w:sz w:val="21"/>
                <w:szCs w:val="21"/>
              </w:rPr>
              <w:t>变异、胎动、胎心等基本数据和监护曲线；</w:t>
            </w:r>
          </w:p>
        </w:tc>
        <w:tc>
          <w:tcPr>
            <w:tcW w:w="976" w:type="dxa"/>
            <w:vAlign w:val="center"/>
          </w:tcPr>
          <w:p>
            <w:pPr>
              <w:spacing w:line="360" w:lineRule="exact"/>
              <w:rPr>
                <w:rFonts w:hint="eastAsia" w:ascii="新宋体" w:hAnsi="新宋体" w:eastAsia="新宋体" w:cs="新宋体"/>
                <w:b w:val="0"/>
                <w:bCs w:val="0"/>
                <w:color w:val="auto"/>
                <w:sz w:val="21"/>
                <w:szCs w:val="21"/>
              </w:rPr>
            </w:pPr>
          </w:p>
        </w:tc>
        <w:tc>
          <w:tcPr>
            <w:tcW w:w="868" w:type="dxa"/>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打印支行国标/美标/欧标格式，支持A4/B5等纸型</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7</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转床功能：</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7.1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支持转床功能，动态合并待产监护数据和产时监护数据</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8</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分级管理功能：</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8.1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可选用户分级机制，便于授权管理</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9</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显示功能：</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9.1</w:t>
            </w:r>
          </w:p>
        </w:tc>
        <w:tc>
          <w:tcPr>
            <w:tcW w:w="5848" w:type="dxa"/>
            <w:tcBorders>
              <w:top w:val="single" w:color="auto" w:sz="6" w:space="0"/>
              <w:left w:val="single" w:color="auto" w:sz="6" w:space="0"/>
              <w:bottom w:val="single" w:color="auto" w:sz="6" w:space="0"/>
              <w:right w:val="single" w:color="auto" w:sz="6" w:space="0"/>
            </w:tcBorders>
            <w:textDirection w:val="lrTb"/>
            <w:vAlign w:val="top"/>
          </w:tcPr>
          <w:p>
            <w:pPr>
              <w:pStyle w:val="15"/>
              <w:spacing w:line="360" w:lineRule="exact"/>
              <w:ind w:firstLine="0" w:firstLineChars="0"/>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单屏可同时显示多至16床位，双屏可同时显示多至32床位</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9.2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可支持双显示器双屏幕显示</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9.3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TFT显示器≧</w:t>
            </w:r>
            <w:r>
              <w:rPr>
                <w:rFonts w:hint="eastAsia" w:ascii="新宋体" w:hAnsi="新宋体" w:eastAsia="新宋体" w:cs="新宋体"/>
                <w:b w:val="0"/>
                <w:bCs w:val="0"/>
                <w:color w:val="auto"/>
                <w:sz w:val="21"/>
                <w:szCs w:val="21"/>
                <w:lang w:val="en-US" w:eastAsia="zh-CN"/>
              </w:rPr>
              <w:t>17</w:t>
            </w:r>
            <w:r>
              <w:rPr>
                <w:rFonts w:hint="eastAsia" w:ascii="新宋体" w:hAnsi="新宋体" w:eastAsia="新宋体" w:cs="新宋体"/>
                <w:b w:val="0"/>
                <w:bCs w:val="0"/>
                <w:color w:val="auto"/>
                <w:sz w:val="21"/>
                <w:szCs w:val="21"/>
              </w:rPr>
              <w:t>吋</w:t>
            </w:r>
            <w:r>
              <w:rPr>
                <w:rFonts w:hint="eastAsia" w:ascii="新宋体" w:hAnsi="新宋体" w:eastAsia="新宋体" w:cs="新宋体"/>
                <w:b w:val="0"/>
                <w:bCs w:val="0"/>
                <w:color w:val="auto"/>
                <w:sz w:val="21"/>
                <w:szCs w:val="21"/>
                <w:lang w:eastAsia="zh-CN"/>
              </w:rPr>
              <w:t>，</w:t>
            </w:r>
            <w:r>
              <w:rPr>
                <w:rFonts w:hint="eastAsia" w:ascii="新宋体" w:hAnsi="新宋体" w:eastAsia="新宋体" w:cs="新宋体"/>
                <w:b w:val="0"/>
                <w:bCs w:val="0"/>
                <w:color w:val="auto"/>
                <w:sz w:val="21"/>
                <w:szCs w:val="21"/>
              </w:rPr>
              <w:t>分辨率≧1280×1024</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9.4</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可在1-16床位之间调整布局, 可提供近60种显示布局方式</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10</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兼容性</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10.1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可接入</w:t>
            </w:r>
            <w:r>
              <w:rPr>
                <w:rFonts w:hint="eastAsia" w:ascii="新宋体" w:hAnsi="新宋体" w:eastAsia="新宋体" w:cs="新宋体"/>
                <w:b w:val="0"/>
                <w:bCs w:val="0"/>
                <w:color w:val="auto"/>
                <w:sz w:val="21"/>
                <w:szCs w:val="21"/>
                <w:lang w:eastAsia="zh-CN"/>
              </w:rPr>
              <w:t>其他</w:t>
            </w:r>
            <w:r>
              <w:rPr>
                <w:rFonts w:hint="eastAsia" w:ascii="新宋体" w:hAnsi="新宋体" w:eastAsia="新宋体" w:cs="新宋体"/>
                <w:b w:val="0"/>
                <w:bCs w:val="0"/>
                <w:color w:val="auto"/>
                <w:sz w:val="21"/>
                <w:szCs w:val="21"/>
              </w:rPr>
              <w:t>厂家部分型号机器（仅限有线网络）</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10.2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可兼用多参数监护仪</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其他：</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通过欧盟CE认证；通过美国FDA注册</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灵活的业务解决方案（可以在护士站或者医生办公室增加观察站，实时观察产房中央站的的全部数据；多个病区的中央站可以相互观察，共享数据）</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二</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母、胎单机一套</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整机：</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监护参数：胎心率（FHR），宫缩压力（TOCO），自动胎动（AFM），母亲（血压、血氧、脉搏、心电、呼吸、体温）；</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有线探头支持一体化探头架设计，支持挂墙放置探头、移动放置探头；可选无线探头采用自识别探头基座设计，随意安放</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1.3</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机顶报警灯柱，人性化报警设置：三级声光报警，范围、声音大小可调，报警信息按病人生理报警和监护仪技术报警分类，并分区域以黄色字体显示报警信息，胎心率报警可调整报警延迟；</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1.4</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双胎心率重合报警(SOV) ，母胎心率信号重合验证；</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1.5</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回顾报警功能，可回顾最近的50条报警信息；</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1.6</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CTG存储≧60小时、回放，打印，掉电数据存储；</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1.7</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内置通讯接口，可与中央站组成网络系统；</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1.8</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具有查找监护记录功能；</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1.9</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可进行快速标注，标注信息随胎心宫缩曲线可实时记录在打印纸；</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1.10</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专家评分系统，提供KREBS、Fischer、改良Fischer和NST四种评分方式；</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1.11</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在宫缩数值大于50单位的情况下，在界面上弹出禁止测量血压的提示信息</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1.12</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通过欧盟CE认证</w:t>
            </w:r>
            <w:r>
              <w:rPr>
                <w:rFonts w:hint="eastAsia" w:ascii="新宋体" w:hAnsi="新宋体" w:eastAsia="新宋体" w:cs="新宋体"/>
                <w:b w:val="0"/>
                <w:bCs w:val="0"/>
                <w:color w:val="auto"/>
                <w:sz w:val="21"/>
                <w:szCs w:val="21"/>
                <w:lang w:eastAsia="zh-CN"/>
              </w:rPr>
              <w:t>、</w:t>
            </w:r>
            <w:r>
              <w:rPr>
                <w:rFonts w:hint="eastAsia" w:ascii="新宋体" w:hAnsi="新宋体" w:eastAsia="新宋体" w:cs="新宋体"/>
                <w:b w:val="0"/>
                <w:bCs w:val="0"/>
                <w:color w:val="auto"/>
                <w:sz w:val="21"/>
                <w:szCs w:val="21"/>
              </w:rPr>
              <w:t>通过美国FDA注册</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显示：</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胎儿母亲监护仪≧</w:t>
            </w:r>
            <w:r>
              <w:rPr>
                <w:rFonts w:hint="eastAsia" w:ascii="新宋体" w:hAnsi="新宋体" w:eastAsia="新宋体" w:cs="新宋体"/>
                <w:b w:val="0"/>
                <w:bCs w:val="0"/>
                <w:color w:val="auto"/>
                <w:sz w:val="21"/>
                <w:szCs w:val="21"/>
                <w:lang w:val="en-US" w:eastAsia="zh-CN"/>
              </w:rPr>
              <w:t>7</w:t>
            </w:r>
            <w:r>
              <w:rPr>
                <w:rFonts w:hint="eastAsia" w:ascii="新宋体" w:hAnsi="新宋体" w:eastAsia="新宋体" w:cs="新宋体"/>
                <w:b w:val="0"/>
                <w:bCs w:val="0"/>
                <w:color w:val="auto"/>
                <w:sz w:val="21"/>
                <w:szCs w:val="21"/>
              </w:rPr>
              <w:t>英寸高清晰液晶彩屏</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2.2</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胎心率120-160bpm正常范围区域标识（可调）</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2.3</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监护曲线显示支持30 ~ 240（美标）和50 ~ 210（国际）两种标准；</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2.4</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可同步显示和打印胎儿活动图曲线；</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2.5</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三种专业监护界面：胎儿监护曲线及数字显示界面、母亲胎儿监护曲线及数字显示界面、母亲监护曲线及数字显示界面；</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2.6</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胎儿监护指标（有线探头）：</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胎儿监护指标（有线探头）：</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胎心：多晶片1MHz宽波束脉冲多普勒防水探头，自适应追踪，胎心信号扑捉稳定；超声工作频率：1MHz；超声波束声强：Iob&lt;1mW/cm2；胎心率范围：30~240bpm ；分辨率: 1bpm。</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宫缩压力： 无凸点探头设计， 0-100相对单位； 分辨率：1%</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胎动：手动/自动胎动检测，显示并打印胎儿活动图；AFM 范围： 0% ~100 %</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母亲监护指标：</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 xml:space="preserve">心电          </w:t>
            </w:r>
          </w:p>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导联选择：三导；心率范围：30-240次/分； 测量精度：±2bpm</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 xml:space="preserve">无创血压     </w:t>
            </w:r>
          </w:p>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测量方法：振荡法无创测量；计量单位：mmHg/Kpa可选；测量方式：手动/自动</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 xml:space="preserve">血氧饱和度   </w:t>
            </w:r>
          </w:p>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显示方法：脉搏波形、血氧饱和度值；测量范围：50%-100%</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4.4</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 xml:space="preserve">呼吸         </w:t>
            </w:r>
          </w:p>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阻抗法，测量范围：0rpm-120rpm</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4.5</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脉率    显示范围：30bpm~240bpm</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4.6</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体温    显示范围：0°C ~ +50°C</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打印：</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内置式150/ 152mm宽行打印，符合国际标准，连续准确记录胎心率、宫缩压曲线及胎儿活动曲线；</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w:t>
            </w:r>
            <w:r>
              <w:rPr>
                <w:rFonts w:hint="eastAsia" w:ascii="新宋体" w:hAnsi="新宋体" w:eastAsia="新宋体" w:cs="新宋体"/>
                <w:b w:val="0"/>
                <w:bCs w:val="0"/>
                <w:color w:val="auto"/>
                <w:sz w:val="21"/>
                <w:szCs w:val="21"/>
                <w:lang w:val="en-US" w:eastAsia="zh-CN"/>
              </w:rPr>
              <w:t>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支持每十分钟自动打印时间、日期、母亲（心率、血压、血氧、呼吸、体温等参数数值）；</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w:t>
            </w:r>
            <w:r>
              <w:rPr>
                <w:rFonts w:hint="eastAsia" w:ascii="新宋体" w:hAnsi="新宋体" w:eastAsia="新宋体" w:cs="新宋体"/>
                <w:b w:val="0"/>
                <w:bCs w:val="0"/>
                <w:color w:val="auto"/>
                <w:sz w:val="21"/>
                <w:szCs w:val="21"/>
                <w:lang w:val="en-US" w:eastAsia="zh-CN"/>
              </w:rPr>
              <w:t>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自动评分结果</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w:t>
            </w:r>
            <w:r>
              <w:rPr>
                <w:rFonts w:hint="eastAsia" w:ascii="新宋体" w:hAnsi="新宋体" w:eastAsia="新宋体" w:cs="新宋体"/>
                <w:b w:val="0"/>
                <w:bCs w:val="0"/>
                <w:color w:val="auto"/>
                <w:sz w:val="21"/>
                <w:szCs w:val="21"/>
                <w:lang w:val="en-US" w:eastAsia="zh-CN"/>
              </w:rPr>
              <w:t>4</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打印记录母亲监护参数：血压（收缩压、舒张压和平均压）、血氧、呼吸率，母亲心率；</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增配内置充电锂电池，可不间断监护</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增配外接胎儿刺激器，刺激标识与胎心宫缩曲线同步显示并描记打印，胎儿振动刺激节奏可通过旋钮调整；</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6.3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增配支持挂墙、台车、挂墙支架等放置方案（根据临床需要配置其中一个方案）</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三</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胎儿单机（含双胞胎一套）三套</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整机</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监护参数：胎心率（FHR），宫缩压力（TOCO），自动胎动（AFM）；</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一体化探头架设计，支持挂墙放置探头、移动放置探头；</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1.3</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机顶报警灯柱，人性化报警设置：三级声光报警，范围、声音大小可调，报警信息按病人生理报警和监护仪技术报警分类，并分区域以黄色字体显示报警信息，胎心率超限报警可调整报警延迟；</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1.4</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双胎心率重合报警(SOV)；</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1.5</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回顾报警功能，可回顾最近的50条报警信息；</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1.6</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CTG存储≧60小时、回放，打印，掉电数据存储；</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1.7</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内置通讯接口，可与中央站组成网络系统；</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1.8</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具有查找监护记录功能；</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1.9</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中英文操作界面；</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1.10</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通过欧盟CE认证</w:t>
            </w:r>
            <w:r>
              <w:rPr>
                <w:rFonts w:hint="eastAsia" w:ascii="新宋体" w:hAnsi="新宋体" w:eastAsia="新宋体" w:cs="新宋体"/>
                <w:b w:val="0"/>
                <w:bCs w:val="0"/>
                <w:color w:val="auto"/>
                <w:sz w:val="21"/>
                <w:szCs w:val="21"/>
                <w:lang w:eastAsia="zh-CN"/>
              </w:rPr>
              <w:t>、</w:t>
            </w:r>
            <w:r>
              <w:rPr>
                <w:rFonts w:hint="eastAsia" w:ascii="新宋体" w:hAnsi="新宋体" w:eastAsia="新宋体" w:cs="新宋体"/>
                <w:b w:val="0"/>
                <w:bCs w:val="0"/>
                <w:color w:val="auto"/>
                <w:sz w:val="21"/>
                <w:szCs w:val="21"/>
              </w:rPr>
              <w:t>通过美国FDA注册</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显示</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彩色大屏幕≧</w:t>
            </w:r>
            <w:r>
              <w:rPr>
                <w:rFonts w:hint="eastAsia" w:ascii="新宋体" w:hAnsi="新宋体" w:eastAsia="新宋体" w:cs="新宋体"/>
                <w:b w:val="0"/>
                <w:bCs w:val="0"/>
                <w:color w:val="auto"/>
                <w:sz w:val="21"/>
                <w:szCs w:val="21"/>
                <w:lang w:val="en-US" w:eastAsia="zh-CN"/>
              </w:rPr>
              <w:t>7寸，</w:t>
            </w:r>
            <w:r>
              <w:rPr>
                <w:rFonts w:hint="eastAsia" w:ascii="新宋体" w:hAnsi="新宋体" w:eastAsia="新宋体" w:cs="新宋体"/>
                <w:b w:val="0"/>
                <w:bCs w:val="0"/>
                <w:color w:val="auto"/>
                <w:sz w:val="21"/>
                <w:szCs w:val="21"/>
              </w:rPr>
              <w:t>TFT显示</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胎心率120-160bpm正常范围区域标识（可调）；</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可同步显示和打印胎儿活动图曲线；</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2.4</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多种监护界面，显示胎儿监护曲线及数字，显示曲线包括：胎心率（FHR）曲线，宫缩压力（TOCO）曲线，自动胎动（AFM）曲线；支持大字体显示</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2.5</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胎动标记、事件标记、信息报警标记显示并打印；</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胎儿监护指标</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胎心：多晶片1MHz宽波束脉冲多普勒防水探头；超声工作频率：1MHz   ；超声波束声强：Iob&lt;10 mW/cm2；胎心率范围： 30~240bpm ；分辨率: 1bpm；精度：±2bpm</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宫缩压力：无凸点探头设计，0-100相对单位，分辨率1% ；归零方式：自动/手动。</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3.3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胎动：手动/自动胎动检测，显示并打印胎儿活动图。</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打印</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4.1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内置式152mm（或150mm）宽行打印，符合国际标准，连续准确记录胎心率、宫缩压曲线及胎儿活动曲线；</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5.1</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增配内置充电锂电池，可不间断监护</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5.2</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增配外接胎儿刺激器，刺激标识与胎心宫缩曲线同步显示并描记打印，胎儿振动刺激节奏可通过旋钮调整；</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5.3</w:t>
            </w:r>
          </w:p>
        </w:tc>
        <w:tc>
          <w:tcPr>
            <w:tcW w:w="5848" w:type="dxa"/>
            <w:tcBorders>
              <w:top w:val="single" w:color="auto" w:sz="6" w:space="0"/>
              <w:left w:val="single" w:color="auto" w:sz="6" w:space="0"/>
              <w:bottom w:val="single" w:color="auto" w:sz="6" w:space="0"/>
              <w:right w:val="single" w:color="auto" w:sz="6" w:space="0"/>
            </w:tcBorders>
            <w:vAlign w:val="center"/>
          </w:tcPr>
          <w:p>
            <w:pPr>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增配支持挂墙、台车、挂墙支架等放置方案（根据临床需要配置其中一个方案）</w:t>
            </w:r>
          </w:p>
        </w:tc>
        <w:tc>
          <w:tcPr>
            <w:tcW w:w="976"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新宋体" w:hAnsi="新宋体" w:eastAsia="新宋体" w:cs="新宋体"/>
                <w:b w:val="0"/>
                <w:bCs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blHeader/>
        </w:trPr>
        <w:tc>
          <w:tcPr>
            <w:tcW w:w="8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6</w:t>
            </w:r>
          </w:p>
        </w:tc>
        <w:tc>
          <w:tcPr>
            <w:tcW w:w="5848" w:type="dxa"/>
            <w:tcBorders>
              <w:top w:val="single" w:color="auto" w:sz="6" w:space="0"/>
              <w:left w:val="single" w:color="auto" w:sz="6" w:space="0"/>
              <w:bottom w:val="single" w:color="auto" w:sz="6" w:space="0"/>
              <w:right w:val="single" w:color="auto" w:sz="6" w:space="0"/>
            </w:tcBorders>
            <w:textDirection w:val="lrTb"/>
            <w:vAlign w:val="center"/>
          </w:tcPr>
          <w:p>
            <w:pPr>
              <w:tabs>
                <w:tab w:val="left" w:pos="1260"/>
              </w:tabs>
              <w:rPr>
                <w:rFonts w:hint="eastAsia" w:ascii="新宋体" w:hAnsi="新宋体" w:eastAsia="新宋体" w:cs="新宋体"/>
              </w:rPr>
            </w:pPr>
            <w:r>
              <w:rPr>
                <w:rFonts w:hint="eastAsia" w:ascii="新宋体" w:hAnsi="新宋体" w:eastAsia="新宋体" w:cs="新宋体"/>
              </w:rPr>
              <w:t>所有封闭耗材、配件及后续服务按今后当时市场价的统一</w:t>
            </w:r>
          </w:p>
          <w:p>
            <w:pPr>
              <w:tabs>
                <w:tab w:val="left" w:pos="1260"/>
              </w:tabs>
              <w:rPr>
                <w:rFonts w:hint="eastAsia" w:ascii="新宋体" w:hAnsi="新宋体" w:eastAsia="新宋体" w:cs="新宋体"/>
                <w:b w:val="0"/>
                <w:bCs w:val="0"/>
                <w:color w:val="auto"/>
                <w:sz w:val="21"/>
                <w:szCs w:val="21"/>
              </w:rPr>
            </w:pPr>
            <w:r>
              <w:rPr>
                <w:rFonts w:hint="eastAsia" w:ascii="新宋体" w:hAnsi="新宋体" w:eastAsia="新宋体" w:cs="新宋体"/>
              </w:rPr>
              <w:t>折扣率</w:t>
            </w:r>
            <w:r>
              <w:rPr>
                <w:rFonts w:hint="eastAsia" w:ascii="新宋体" w:hAnsi="新宋体" w:eastAsia="新宋体" w:cs="新宋体"/>
                <w:u w:val="single"/>
                <w:lang w:val="en-US" w:eastAsia="zh-CN"/>
              </w:rPr>
              <w:t xml:space="preserve">    </w:t>
            </w:r>
            <w:r>
              <w:rPr>
                <w:rFonts w:hint="eastAsia" w:ascii="新宋体" w:hAnsi="新宋体" w:eastAsia="新宋体" w:cs="新宋体"/>
                <w:lang w:val="en-US" w:eastAsia="zh-CN"/>
              </w:rPr>
              <w:t xml:space="preserve"> </w:t>
            </w:r>
            <w:r>
              <w:rPr>
                <w:rFonts w:hint="eastAsia" w:ascii="新宋体" w:hAnsi="新宋体" w:eastAsia="新宋体" w:cs="新宋体"/>
              </w:rPr>
              <w:t>折优惠</w:t>
            </w:r>
          </w:p>
        </w:tc>
        <w:tc>
          <w:tcPr>
            <w:tcW w:w="1844" w:type="dxa"/>
            <w:gridSpan w:val="2"/>
            <w:tcBorders>
              <w:top w:val="single" w:color="auto" w:sz="6" w:space="0"/>
              <w:left w:val="single" w:color="auto" w:sz="6" w:space="0"/>
              <w:bottom w:val="single" w:color="auto" w:sz="6" w:space="0"/>
            </w:tcBorders>
            <w:vAlign w:val="center"/>
          </w:tcPr>
          <w:p>
            <w:pPr>
              <w:spacing w:line="360" w:lineRule="exact"/>
              <w:rPr>
                <w:rFonts w:hint="eastAsia" w:ascii="新宋体" w:hAnsi="新宋体" w:eastAsia="新宋体" w:cs="新宋体"/>
                <w:b w:val="0"/>
                <w:bCs w:val="0"/>
                <w:color w:val="auto"/>
                <w:sz w:val="21"/>
                <w:szCs w:val="21"/>
              </w:rPr>
            </w:pPr>
            <w:r>
              <w:rPr>
                <w:rFonts w:hint="eastAsia" w:ascii="新宋体" w:hAnsi="新宋体" w:eastAsia="新宋体" w:cs="新宋体"/>
                <w:lang w:eastAsia="zh-CN"/>
              </w:rPr>
              <w:t>（</w:t>
            </w:r>
            <w:r>
              <w:rPr>
                <w:rFonts w:hint="eastAsia" w:ascii="新宋体" w:hAnsi="新宋体" w:eastAsia="新宋体" w:cs="新宋体"/>
              </w:rPr>
              <w:t>请写明统一折扣，评分时体现</w:t>
            </w:r>
            <w:r>
              <w:rPr>
                <w:rFonts w:hint="eastAsia" w:ascii="新宋体" w:hAnsi="新宋体" w:eastAsia="新宋体" w:cs="新宋体"/>
                <w:lang w:eastAsia="zh-CN"/>
              </w:rPr>
              <w:t>）</w:t>
            </w:r>
          </w:p>
        </w:tc>
      </w:tr>
    </w:tbl>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rPr>
          <w:rFonts w:hint="eastAsia" w:ascii="新宋体" w:hAnsi="新宋体" w:eastAsia="新宋体" w:cs="新宋体"/>
          <w:b w:val="0"/>
          <w:bCs w:val="0"/>
          <w:color w:val="auto"/>
          <w:sz w:val="21"/>
          <w:szCs w:val="21"/>
          <w:lang w:eastAsia="zh-CN"/>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pStyle w:val="5"/>
        <w:spacing w:afterLines="50" w:line="360" w:lineRule="auto"/>
        <w:jc w:val="both"/>
        <w:rPr>
          <w:rFonts w:hint="eastAsia" w:ascii="仿宋" w:hAnsi="仿宋" w:eastAsia="仿宋"/>
          <w:b/>
          <w:color w:val="FF0000"/>
          <w:sz w:val="28"/>
          <w:szCs w:val="28"/>
        </w:rPr>
      </w:pPr>
    </w:p>
    <w:p>
      <w:pPr>
        <w:rPr>
          <w:rFonts w:hint="eastAsia" w:ascii="新宋体" w:hAnsi="新宋体" w:eastAsia="新宋体" w:cs="新宋体"/>
          <w:b w:val="0"/>
          <w:bCs w:val="0"/>
          <w:color w:val="auto"/>
          <w:sz w:val="21"/>
          <w:szCs w:val="21"/>
          <w:lang w:eastAsia="zh-CN"/>
        </w:rPr>
      </w:pPr>
    </w:p>
    <w:p>
      <w:pPr>
        <w:numPr>
          <w:ilvl w:val="0"/>
          <w:numId w:val="0"/>
        </w:numPr>
        <w:jc w:val="left"/>
        <w:rPr>
          <w:rFonts w:hint="eastAsia" w:ascii="新宋体" w:hAnsi="新宋体" w:eastAsia="新宋体" w:cs="新宋体"/>
          <w:b/>
          <w:bCs/>
          <w:sz w:val="28"/>
          <w:szCs w:val="28"/>
          <w:lang w:eastAsia="zh-CN"/>
        </w:rPr>
      </w:pPr>
    </w:p>
    <w:p>
      <w:pPr>
        <w:pStyle w:val="5"/>
        <w:spacing w:line="360" w:lineRule="exact"/>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三、售后服务</w:t>
      </w:r>
    </w:p>
    <w:p>
      <w:pPr>
        <w:pStyle w:val="5"/>
        <w:spacing w:line="360" w:lineRule="exact"/>
        <w:ind w:left="-2" w:leftChars="-1" w:firstLine="315" w:firstLineChars="150"/>
        <w:rPr>
          <w:rFonts w:hint="eastAsia" w:ascii="新宋体" w:hAnsi="新宋体" w:eastAsia="新宋体" w:cs="新宋体"/>
          <w:bCs/>
        </w:rPr>
      </w:pPr>
      <w:r>
        <w:rPr>
          <w:rFonts w:hint="eastAsia" w:ascii="新宋体" w:hAnsi="新宋体" w:eastAsia="新宋体" w:cs="新宋体"/>
          <w:szCs w:val="21"/>
        </w:rPr>
        <w:t>1、</w:t>
      </w:r>
      <w:r>
        <w:rPr>
          <w:rFonts w:hint="eastAsia" w:ascii="新宋体" w:hAnsi="新宋体" w:eastAsia="新宋体" w:cs="新宋体"/>
          <w:bCs/>
        </w:rPr>
        <w:t>供货单位要包质量、包数量、包运输、包安装调试。投标人提供的必须是生产厂家出产时原包装的、符合国家质量检测标准或具有中国商检部门合格证明的货物。</w:t>
      </w:r>
    </w:p>
    <w:p>
      <w:pPr>
        <w:pStyle w:val="5"/>
        <w:spacing w:line="360" w:lineRule="exact"/>
        <w:ind w:left="-2" w:leftChars="-1" w:firstLine="315" w:firstLineChars="150"/>
        <w:rPr>
          <w:rFonts w:hint="eastAsia" w:ascii="新宋体" w:hAnsi="新宋体" w:eastAsia="新宋体" w:cs="新宋体"/>
          <w:szCs w:val="21"/>
        </w:rPr>
      </w:pPr>
      <w:r>
        <w:rPr>
          <w:rFonts w:hint="eastAsia" w:ascii="新宋体" w:hAnsi="新宋体" w:eastAsia="新宋体" w:cs="新宋体"/>
          <w:szCs w:val="21"/>
        </w:rPr>
        <w:t>2、提供设备原生产厂商的DATASHEET、配置清单。投标文件中出具制造商国内售后服务部门针对本项目的承诺书。</w:t>
      </w:r>
    </w:p>
    <w:p>
      <w:pPr>
        <w:pStyle w:val="5"/>
        <w:spacing w:line="360" w:lineRule="exact"/>
        <w:ind w:left="-2" w:leftChars="-1" w:firstLine="315" w:firstLineChars="150"/>
        <w:rPr>
          <w:rFonts w:hint="eastAsia" w:ascii="新宋体" w:hAnsi="新宋体" w:eastAsia="新宋体" w:cs="新宋体"/>
          <w:color w:val="auto"/>
          <w:szCs w:val="21"/>
          <w:highlight w:val="none"/>
        </w:rPr>
      </w:pPr>
      <w:r>
        <w:rPr>
          <w:rFonts w:hint="eastAsia" w:ascii="新宋体" w:hAnsi="新宋体" w:eastAsia="新宋体" w:cs="新宋体"/>
          <w:szCs w:val="21"/>
        </w:rPr>
        <w:t>3、提供中文版用户操作手册和维修手册；免费提供操作和维修培训。免费提供操作人员足够时间的现场</w:t>
      </w:r>
      <w:r>
        <w:rPr>
          <w:rFonts w:hint="eastAsia" w:ascii="新宋体" w:hAnsi="新宋体" w:eastAsia="新宋体" w:cs="新宋体"/>
          <w:color w:val="auto"/>
          <w:szCs w:val="21"/>
          <w:highlight w:val="none"/>
        </w:rPr>
        <w:t>技术培训，保证操作人员能正常操作设备的各种功能，并向培训人员提供技术维修图纸、调试参数资料。</w:t>
      </w:r>
    </w:p>
    <w:p>
      <w:pPr>
        <w:pStyle w:val="5"/>
        <w:spacing w:line="360" w:lineRule="exact"/>
        <w:ind w:left="-2" w:leftChars="-1" w:firstLine="315" w:firstLineChars="150"/>
        <w:rPr>
          <w:rFonts w:hint="eastAsia" w:ascii="新宋体" w:hAnsi="新宋体" w:eastAsia="新宋体" w:cs="新宋体"/>
          <w:b/>
          <w:color w:val="auto"/>
          <w:szCs w:val="21"/>
          <w:highlight w:val="none"/>
        </w:rPr>
      </w:pPr>
      <w:r>
        <w:rPr>
          <w:rFonts w:hint="eastAsia" w:ascii="新宋体" w:hAnsi="新宋体" w:eastAsia="新宋体" w:cs="新宋体"/>
          <w:color w:val="auto"/>
          <w:szCs w:val="21"/>
          <w:highlight w:val="none"/>
        </w:rPr>
        <w:t>4、</w:t>
      </w:r>
      <w:r>
        <w:rPr>
          <w:rFonts w:hint="eastAsia" w:ascii="新宋体" w:hAnsi="新宋体" w:eastAsia="新宋体" w:cs="新宋体"/>
          <w:b/>
          <w:color w:val="auto"/>
          <w:szCs w:val="21"/>
          <w:highlight w:val="none"/>
        </w:rPr>
        <w:t>详细列出配置清单及单价；详细列出维修配件、</w:t>
      </w:r>
      <w:r>
        <w:rPr>
          <w:rFonts w:hint="eastAsia" w:ascii="新宋体" w:hAnsi="新宋体" w:eastAsia="新宋体" w:cs="新宋体"/>
          <w:b/>
          <w:color w:val="auto"/>
          <w:szCs w:val="21"/>
          <w:highlight w:val="none"/>
          <w:lang w:eastAsia="zh-CN"/>
        </w:rPr>
        <w:t>消耗品和技术服务清单</w:t>
      </w:r>
      <w:r>
        <w:rPr>
          <w:rFonts w:hint="eastAsia" w:ascii="新宋体" w:hAnsi="新宋体" w:eastAsia="新宋体" w:cs="新宋体"/>
          <w:b/>
          <w:color w:val="auto"/>
          <w:szCs w:val="21"/>
          <w:highlight w:val="none"/>
        </w:rPr>
        <w:t>及优惠价格，并提供详细售后服务计划。</w:t>
      </w:r>
      <w:r>
        <w:rPr>
          <w:rFonts w:hint="eastAsia" w:ascii="新宋体" w:hAnsi="新宋体" w:eastAsia="新宋体" w:cs="新宋体"/>
          <w:color w:val="auto"/>
          <w:szCs w:val="21"/>
          <w:highlight w:val="none"/>
        </w:rPr>
        <w:t>【*】</w:t>
      </w:r>
    </w:p>
    <w:p>
      <w:pPr>
        <w:pStyle w:val="5"/>
        <w:spacing w:line="360" w:lineRule="exact"/>
        <w:ind w:left="-2" w:leftChars="-1" w:firstLine="315" w:firstLineChars="150"/>
        <w:rPr>
          <w:rFonts w:hint="eastAsia" w:ascii="新宋体" w:hAnsi="新宋体" w:eastAsia="新宋体" w:cs="新宋体"/>
          <w:szCs w:val="21"/>
        </w:rPr>
      </w:pPr>
      <w:r>
        <w:rPr>
          <w:rFonts w:hint="eastAsia" w:ascii="新宋体" w:hAnsi="新宋体" w:eastAsia="新宋体" w:cs="新宋体"/>
          <w:color w:val="auto"/>
          <w:szCs w:val="21"/>
          <w:highlight w:val="none"/>
        </w:rPr>
        <w:t>5、</w:t>
      </w:r>
      <w:r>
        <w:rPr>
          <w:rFonts w:hint="eastAsia" w:ascii="新宋体" w:hAnsi="新宋体" w:eastAsia="新宋体" w:cs="新宋体"/>
          <w:color w:val="auto"/>
          <w:szCs w:val="21"/>
          <w:highlight w:val="none"/>
          <w:lang w:eastAsia="zh-CN"/>
        </w:rPr>
        <w:t>设备验收合</w:t>
      </w:r>
      <w:r>
        <w:rPr>
          <w:rFonts w:hint="eastAsia" w:ascii="新宋体" w:hAnsi="新宋体" w:eastAsia="新宋体" w:cs="新宋体"/>
          <w:color w:val="auto"/>
          <w:sz w:val="21"/>
          <w:szCs w:val="21"/>
          <w:highlight w:val="none"/>
          <w:lang w:eastAsia="zh-CN"/>
        </w:rPr>
        <w:t>格后免费保修≧</w:t>
      </w:r>
      <w:r>
        <w:rPr>
          <w:rFonts w:hint="eastAsia" w:ascii="新宋体" w:hAnsi="新宋体" w:eastAsia="新宋体" w:cs="新宋体"/>
          <w:color w:val="auto"/>
          <w:sz w:val="21"/>
          <w:szCs w:val="21"/>
          <w:highlight w:val="none"/>
          <w:lang w:val="en-US" w:eastAsia="zh-CN"/>
        </w:rPr>
        <w:t>2年</w:t>
      </w:r>
      <w:r>
        <w:rPr>
          <w:rFonts w:hint="eastAsia" w:ascii="新宋体" w:hAnsi="新宋体" w:eastAsia="新宋体" w:cs="新宋体"/>
          <w:color w:val="auto"/>
          <w:sz w:val="21"/>
          <w:szCs w:val="21"/>
          <w:highlight w:val="none"/>
        </w:rPr>
        <w:t>，保证开机率大于</w:t>
      </w:r>
      <w:r>
        <w:rPr>
          <w:rFonts w:hint="eastAsia" w:ascii="新宋体" w:hAnsi="新宋体" w:eastAsia="新宋体" w:cs="新宋体"/>
          <w:color w:val="auto"/>
          <w:sz w:val="21"/>
          <w:szCs w:val="21"/>
          <w:highlight w:val="none"/>
          <w:lang w:val="en-US" w:eastAsia="zh-CN"/>
        </w:rPr>
        <w:t>98%</w:t>
      </w:r>
      <w:r>
        <w:rPr>
          <w:rFonts w:hint="eastAsia" w:ascii="新宋体" w:hAnsi="新宋体" w:eastAsia="新宋体" w:cs="新宋体"/>
          <w:color w:val="auto"/>
          <w:sz w:val="21"/>
          <w:szCs w:val="21"/>
          <w:highlight w:val="none"/>
        </w:rPr>
        <w:t>的工作日。维修响应时间＜4小时，工程师24-48小时内到位并排除故障。</w:t>
      </w:r>
      <w:r>
        <w:rPr>
          <w:rFonts w:hint="eastAsia" w:ascii="新宋体" w:hAnsi="新宋体" w:eastAsia="新宋体" w:cs="新宋体"/>
          <w:color w:val="0000FF"/>
          <w:kern w:val="0"/>
          <w:sz w:val="21"/>
          <w:szCs w:val="21"/>
        </w:rPr>
        <w:t>保修年限不列入技术评分</w:t>
      </w:r>
      <w:r>
        <w:rPr>
          <w:rFonts w:hint="eastAsia" w:ascii="新宋体" w:hAnsi="新宋体" w:eastAsia="新宋体"/>
          <w:color w:val="0000FF"/>
          <w:sz w:val="21"/>
          <w:szCs w:val="21"/>
        </w:rPr>
        <w:t>，超过2年保修年限在非现金让利中填报</w:t>
      </w:r>
      <w:r>
        <w:rPr>
          <w:rFonts w:hint="eastAsia" w:ascii="新宋体" w:hAnsi="新宋体" w:eastAsia="新宋体" w:cs="新宋体"/>
          <w:sz w:val="21"/>
          <w:szCs w:val="21"/>
          <w:highlight w:val="none"/>
        </w:rPr>
        <w:t>，保证</w:t>
      </w:r>
      <w:r>
        <w:rPr>
          <w:rFonts w:hint="eastAsia" w:ascii="新宋体" w:hAnsi="新宋体" w:eastAsia="新宋体" w:cs="新宋体"/>
          <w:szCs w:val="21"/>
          <w:highlight w:val="none"/>
        </w:rPr>
        <w:t>零配件供应8年</w:t>
      </w:r>
      <w:r>
        <w:rPr>
          <w:rFonts w:hint="eastAsia" w:ascii="新宋体" w:hAnsi="新宋体" w:eastAsia="新宋体" w:cs="新宋体"/>
          <w:szCs w:val="21"/>
        </w:rPr>
        <w:t>。【*】</w:t>
      </w:r>
    </w:p>
    <w:p>
      <w:pPr>
        <w:pStyle w:val="5"/>
        <w:spacing w:line="360" w:lineRule="exact"/>
        <w:ind w:left="-2" w:leftChars="-1" w:firstLine="315" w:firstLineChars="150"/>
        <w:rPr>
          <w:rFonts w:hint="eastAsia" w:ascii="新宋体" w:hAnsi="新宋体" w:eastAsia="新宋体" w:cs="新宋体"/>
          <w:color w:val="auto"/>
          <w:szCs w:val="21"/>
          <w:highlight w:val="none"/>
        </w:rPr>
      </w:pPr>
      <w:r>
        <w:rPr>
          <w:rFonts w:hint="eastAsia" w:ascii="新宋体" w:hAnsi="新宋体" w:eastAsia="新宋体" w:cs="新宋体"/>
          <w:szCs w:val="21"/>
        </w:rPr>
        <w:t>6、</w:t>
      </w:r>
      <w:r>
        <w:rPr>
          <w:rFonts w:hint="eastAsia" w:ascii="新宋体" w:hAnsi="新宋体" w:eastAsia="新宋体" w:cs="新宋体"/>
          <w:color w:val="auto"/>
          <w:szCs w:val="21"/>
          <w:highlight w:val="none"/>
        </w:rPr>
        <w:t>投标人还可以提供其认为标文中没有提及但必须提供的相关资料。</w:t>
      </w:r>
    </w:p>
    <w:p>
      <w:pPr>
        <w:pStyle w:val="5"/>
        <w:spacing w:line="360" w:lineRule="exact"/>
        <w:ind w:left="-2" w:leftChars="-1" w:firstLine="315" w:firstLineChars="1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7、</w:t>
      </w:r>
      <w:r>
        <w:rPr>
          <w:rFonts w:hint="eastAsia" w:ascii="新宋体" w:hAnsi="新宋体" w:eastAsia="新宋体" w:cs="新宋体"/>
        </w:rPr>
        <w:t>装备附属软件需提供终身免费升级服务并定期维护，并开放后续软件接口。</w:t>
      </w:r>
      <w:r>
        <w:rPr>
          <w:rFonts w:hint="eastAsia" w:ascii="新宋体" w:hAnsi="新宋体" w:eastAsia="新宋体" w:cs="新宋体"/>
          <w:color w:val="auto"/>
          <w:szCs w:val="21"/>
          <w:highlight w:val="none"/>
        </w:rPr>
        <w:t>【*】</w:t>
      </w:r>
    </w:p>
    <w:p>
      <w:pPr>
        <w:pStyle w:val="5"/>
        <w:spacing w:line="360" w:lineRule="exact"/>
        <w:ind w:left="-2" w:leftChars="-1" w:firstLine="315" w:firstLineChars="15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8、所投产品免费质保必须提供原厂（进口设备为国内一级代理商）或其指定的售后服务部的证明。</w:t>
      </w:r>
      <w:r>
        <w:rPr>
          <w:rFonts w:hint="eastAsia" w:ascii="新宋体" w:hAnsi="新宋体" w:eastAsia="新宋体" w:cs="新宋体"/>
          <w:color w:val="auto"/>
          <w:szCs w:val="21"/>
          <w:highlight w:val="none"/>
        </w:rPr>
        <w:t>【*】</w:t>
      </w:r>
    </w:p>
    <w:p>
      <w:pPr>
        <w:pStyle w:val="5"/>
        <w:spacing w:line="360" w:lineRule="exac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四、商务要求</w:t>
      </w:r>
    </w:p>
    <w:p>
      <w:pPr>
        <w:spacing w:line="360" w:lineRule="exact"/>
        <w:ind w:firstLine="310" w:firstLineChars="147"/>
        <w:rPr>
          <w:rFonts w:hint="eastAsia" w:ascii="新宋体" w:hAnsi="新宋体" w:eastAsia="新宋体" w:cs="新宋体"/>
          <w:b/>
          <w:bCs/>
          <w:color w:val="auto"/>
          <w:highlight w:val="none"/>
        </w:rPr>
      </w:pPr>
      <w:r>
        <w:rPr>
          <w:rFonts w:hint="eastAsia" w:ascii="新宋体" w:hAnsi="新宋体" w:eastAsia="新宋体" w:cs="新宋体"/>
          <w:b/>
          <w:bCs/>
          <w:color w:val="auto"/>
          <w:highlight w:val="none"/>
        </w:rPr>
        <w:t>（一）项目投标报价要求</w:t>
      </w:r>
    </w:p>
    <w:p>
      <w:pPr>
        <w:adjustRightInd w:val="0"/>
        <w:spacing w:line="360" w:lineRule="exact"/>
        <w:ind w:firstLine="420" w:firstLineChars="200"/>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1、</w:t>
      </w:r>
      <w:r>
        <w:rPr>
          <w:rFonts w:hint="eastAsia" w:ascii="新宋体" w:hAnsi="新宋体" w:eastAsia="新宋体" w:cs="新宋体"/>
          <w:color w:val="auto"/>
          <w:highlight w:val="none"/>
        </w:rPr>
        <w:t>投标报价须包含总报价和每个设备的分项报价。</w:t>
      </w:r>
      <w:r>
        <w:rPr>
          <w:rFonts w:hint="eastAsia" w:ascii="新宋体" w:hAnsi="新宋体" w:eastAsia="新宋体" w:cs="新宋体"/>
          <w:color w:val="auto"/>
          <w:szCs w:val="20"/>
          <w:highlight w:val="none"/>
        </w:rPr>
        <w:t>投标报价包括</w:t>
      </w:r>
      <w:r>
        <w:rPr>
          <w:rFonts w:hint="eastAsia" w:ascii="新宋体" w:hAnsi="新宋体" w:eastAsia="新宋体" w:cs="新宋体"/>
          <w:b/>
          <w:bCs/>
          <w:color w:val="auto"/>
          <w:highlight w:val="none"/>
        </w:rPr>
        <w:t>全部设备价款（含必备的附件备件）、运输装卸费、安装调试费和税费</w:t>
      </w:r>
      <w:r>
        <w:rPr>
          <w:rFonts w:hint="eastAsia" w:ascii="新宋体" w:hAnsi="新宋体" w:eastAsia="新宋体" w:cs="新宋体"/>
          <w:b/>
          <w:color w:val="auto"/>
          <w:highlight w:val="none"/>
          <w:u w:val="single"/>
        </w:rPr>
        <w:t>等一切费用。投标报价为投标方所能承受的整个项目的最低报价，</w:t>
      </w:r>
      <w:r>
        <w:rPr>
          <w:rFonts w:hint="eastAsia" w:ascii="新宋体" w:hAnsi="新宋体" w:eastAsia="新宋体" w:cs="新宋体"/>
          <w:color w:val="auto"/>
          <w:szCs w:val="20"/>
          <w:highlight w:val="none"/>
        </w:rPr>
        <w:t>如有漏项，视同已包含在其总项目中，合同报价不做调整。</w:t>
      </w:r>
      <w:r>
        <w:rPr>
          <w:rFonts w:hint="eastAsia" w:ascii="新宋体" w:hAnsi="新宋体" w:eastAsia="新宋体" w:cs="新宋体"/>
          <w:b/>
          <w:color w:val="auto"/>
          <w:kern w:val="0"/>
          <w:szCs w:val="21"/>
          <w:highlight w:val="none"/>
        </w:rPr>
        <w:t>须承诺投标价为浙江省内最低价，在中标后3个月内若发现</w:t>
      </w:r>
      <w:r>
        <w:rPr>
          <w:rFonts w:hint="eastAsia" w:ascii="新宋体" w:hAnsi="新宋体" w:eastAsia="新宋体" w:cs="新宋体"/>
          <w:b/>
          <w:color w:val="auto"/>
          <w:szCs w:val="21"/>
          <w:highlight w:val="none"/>
        </w:rPr>
        <w:t>设备市场均价低于预算价超8%以上的，招标方有权解除合同，并有权要求供货方赔偿相关经济损失。</w:t>
      </w:r>
    </w:p>
    <w:p>
      <w:pPr>
        <w:pStyle w:val="5"/>
        <w:spacing w:line="360" w:lineRule="exact"/>
        <w:ind w:left="-2" w:leftChars="-1" w:firstLine="316" w:firstLineChars="150"/>
        <w:rPr>
          <w:rFonts w:hint="eastAsia" w:ascii="新宋体" w:hAnsi="新宋体" w:eastAsia="新宋体" w:cs="新宋体"/>
          <w:b/>
          <w:color w:val="auto"/>
          <w:highlight w:val="none"/>
          <w:shd w:val="clear" w:color="auto" w:fill="FFFF00"/>
        </w:rPr>
      </w:pPr>
      <w:r>
        <w:rPr>
          <w:rFonts w:hint="eastAsia" w:ascii="新宋体" w:hAnsi="新宋体" w:eastAsia="新宋体" w:cs="新宋体"/>
          <w:b/>
          <w:color w:val="auto"/>
          <w:kern w:val="0"/>
          <w:szCs w:val="21"/>
          <w:highlight w:val="none"/>
          <w:lang w:val="en-US" w:eastAsia="zh-CN"/>
        </w:rPr>
        <w:t>2、</w:t>
      </w:r>
      <w:r>
        <w:rPr>
          <w:rFonts w:hint="eastAsia" w:ascii="新宋体" w:hAnsi="新宋体" w:eastAsia="新宋体" w:cs="新宋体"/>
          <w:b/>
          <w:color w:val="auto"/>
          <w:kern w:val="0"/>
          <w:szCs w:val="21"/>
          <w:highlight w:val="none"/>
        </w:rPr>
        <w:t>对照预算价原则上需让利30%以上，让利方式可以是现金、货物或服务、以提供高</w:t>
      </w:r>
      <w:r>
        <w:rPr>
          <w:rFonts w:hint="eastAsia" w:ascii="新宋体" w:hAnsi="新宋体" w:eastAsia="新宋体" w:cs="新宋体"/>
          <w:b/>
          <w:color w:val="auto"/>
          <w:kern w:val="0"/>
          <w:szCs w:val="21"/>
          <w:highlight w:val="none"/>
          <w:lang w:eastAsia="zh-CN"/>
        </w:rPr>
        <w:t>端</w:t>
      </w:r>
      <w:r>
        <w:rPr>
          <w:rFonts w:hint="eastAsia" w:ascii="新宋体" w:hAnsi="新宋体" w:eastAsia="新宋体" w:cs="新宋体"/>
          <w:color w:val="auto"/>
          <w:szCs w:val="21"/>
          <w:highlight w:val="none"/>
        </w:rPr>
        <w:t>设备参与投标等方式。</w:t>
      </w:r>
      <w:r>
        <w:rPr>
          <w:rFonts w:hint="eastAsia" w:ascii="新宋体" w:hAnsi="新宋体" w:eastAsia="新宋体" w:cs="新宋体"/>
          <w:color w:val="auto"/>
          <w:sz w:val="21"/>
          <w:szCs w:val="21"/>
          <w:highlight w:val="none"/>
        </w:rPr>
        <w:t>以提供高</w:t>
      </w:r>
      <w:r>
        <w:rPr>
          <w:rFonts w:hint="eastAsia" w:ascii="新宋体" w:hAnsi="新宋体" w:eastAsia="新宋体" w:cs="新宋体"/>
          <w:color w:val="auto"/>
          <w:sz w:val="21"/>
          <w:szCs w:val="21"/>
          <w:highlight w:val="none"/>
          <w:lang w:eastAsia="zh-CN"/>
        </w:rPr>
        <w:t>端</w:t>
      </w:r>
      <w:r>
        <w:rPr>
          <w:rFonts w:hint="eastAsia" w:ascii="新宋体" w:hAnsi="新宋体" w:eastAsia="新宋体" w:cs="新宋体"/>
          <w:color w:val="auto"/>
          <w:sz w:val="21"/>
          <w:szCs w:val="21"/>
          <w:highlight w:val="none"/>
        </w:rPr>
        <w:t>设备参与让利投标的需写明设备名称、型号，并至少提供</w:t>
      </w:r>
      <w:r>
        <w:rPr>
          <w:rFonts w:hint="eastAsia" w:ascii="新宋体" w:hAnsi="新宋体" w:eastAsia="新宋体" w:cs="新宋体"/>
          <w:color w:val="auto"/>
          <w:sz w:val="21"/>
          <w:szCs w:val="21"/>
          <w:highlight w:val="none"/>
          <w:lang w:eastAsia="zh-CN"/>
        </w:rPr>
        <w:t>华东地区</w:t>
      </w:r>
      <w:r>
        <w:rPr>
          <w:rFonts w:hint="eastAsia" w:ascii="新宋体" w:hAnsi="新宋体" w:eastAsia="新宋体" w:cs="新宋体"/>
          <w:color w:val="auto"/>
          <w:sz w:val="21"/>
          <w:szCs w:val="21"/>
          <w:highlight w:val="none"/>
        </w:rPr>
        <w:t>近1年</w:t>
      </w:r>
      <w:r>
        <w:rPr>
          <w:rFonts w:hint="eastAsia" w:ascii="新宋体" w:hAnsi="新宋体" w:eastAsia="新宋体" w:cs="新宋体"/>
          <w:color w:val="auto"/>
          <w:sz w:val="21"/>
          <w:szCs w:val="21"/>
          <w:highlight w:val="none"/>
          <w:lang w:eastAsia="zh-CN"/>
        </w:rPr>
        <w:t>内</w:t>
      </w:r>
      <w:r>
        <w:rPr>
          <w:rFonts w:hint="eastAsia" w:ascii="新宋体" w:hAnsi="新宋体" w:eastAsia="新宋体" w:cs="新宋体"/>
          <w:color w:val="auto"/>
          <w:sz w:val="21"/>
          <w:szCs w:val="21"/>
          <w:highlight w:val="none"/>
        </w:rPr>
        <w:t>市场成交依据（含价格）3份。</w:t>
      </w:r>
      <w:r>
        <w:rPr>
          <w:rFonts w:hint="eastAsia" w:ascii="新宋体" w:hAnsi="新宋体" w:eastAsia="新宋体" w:cs="新宋体"/>
          <w:b/>
          <w:color w:val="auto"/>
          <w:szCs w:val="21"/>
          <w:highlight w:val="none"/>
        </w:rPr>
        <w:t>曾预报名的，投标承诺不得低于预报名承诺，若低于该承诺，招标方将可能将其视为无效投标，中标者招标方有权解除其中标资格。</w:t>
      </w:r>
    </w:p>
    <w:p>
      <w:pPr>
        <w:rPr>
          <w:rFonts w:hint="eastAsia" w:ascii="新宋体" w:hAnsi="新宋体" w:eastAsia="新宋体" w:cs="新宋体"/>
        </w:rPr>
      </w:pPr>
      <w:r>
        <w:rPr>
          <w:rFonts w:hint="eastAsia" w:ascii="新宋体" w:hAnsi="新宋体" w:eastAsia="新宋体" w:cs="新宋体"/>
          <w:lang w:val="en-US" w:eastAsia="zh-CN"/>
        </w:rPr>
        <w:t xml:space="preserve">   3、</w:t>
      </w:r>
      <w:r>
        <w:rPr>
          <w:rFonts w:hint="eastAsia" w:ascii="新宋体" w:hAnsi="新宋体" w:eastAsia="新宋体" w:cs="新宋体"/>
        </w:rPr>
        <w:t>各项商务报价均应承诺为市场最低价（参考自开标日之前一年浙江省内同款产品成交价格。在中标后零配件、封闭式耗材及服务价格有向下调整的，应第一时间通知我方用户单位进行调整），并整体让利不得低于预报名时的让利承诺水平。</w:t>
      </w:r>
    </w:p>
    <w:p>
      <w:pPr>
        <w:adjustRightInd w:val="0"/>
        <w:spacing w:line="360" w:lineRule="exact"/>
        <w:ind w:firstLine="422" w:firstLineChars="200"/>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3、安装完成时间：接用户通知后</w:t>
      </w:r>
      <w:r>
        <w:rPr>
          <w:rFonts w:hint="eastAsia" w:ascii="新宋体" w:hAnsi="新宋体" w:eastAsia="新宋体" w:cs="新宋体"/>
          <w:b/>
          <w:color w:val="auto"/>
          <w:highlight w:val="none"/>
          <w:lang w:val="en-US" w:eastAsia="zh-CN"/>
        </w:rPr>
        <w:t>10</w:t>
      </w:r>
      <w:r>
        <w:rPr>
          <w:rFonts w:hint="eastAsia" w:ascii="新宋体" w:hAnsi="新宋体" w:eastAsia="新宋体" w:cs="新宋体"/>
          <w:b/>
          <w:color w:val="auto"/>
          <w:highlight w:val="none"/>
        </w:rPr>
        <w:t>天内全部安装调试完成。</w:t>
      </w:r>
    </w:p>
    <w:p>
      <w:pPr>
        <w:adjustRightInd w:val="0"/>
        <w:spacing w:line="360" w:lineRule="exact"/>
        <w:ind w:firstLine="422" w:firstLineChars="200"/>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4、安装地点：各</w:t>
      </w:r>
      <w:r>
        <w:rPr>
          <w:rFonts w:hint="eastAsia" w:ascii="新宋体" w:hAnsi="新宋体" w:eastAsia="新宋体" w:cs="新宋体"/>
          <w:b/>
          <w:color w:val="auto"/>
          <w:highlight w:val="none"/>
          <w:lang w:eastAsia="zh-CN"/>
        </w:rPr>
        <w:t>使用</w:t>
      </w:r>
      <w:r>
        <w:rPr>
          <w:rFonts w:hint="eastAsia" w:ascii="新宋体" w:hAnsi="新宋体" w:eastAsia="新宋体" w:cs="新宋体"/>
          <w:b/>
          <w:color w:val="auto"/>
          <w:highlight w:val="none"/>
        </w:rPr>
        <w:t>医院内。</w:t>
      </w:r>
    </w:p>
    <w:p>
      <w:pPr>
        <w:spacing w:line="360" w:lineRule="exact"/>
        <w:ind w:firstLine="310" w:firstLineChars="147"/>
        <w:rPr>
          <w:rFonts w:hint="eastAsia" w:ascii="新宋体" w:hAnsi="新宋体" w:eastAsia="新宋体" w:cs="新宋体"/>
          <w:b/>
          <w:bCs/>
          <w:color w:val="auto"/>
          <w:highlight w:val="none"/>
        </w:rPr>
      </w:pPr>
      <w:r>
        <w:rPr>
          <w:rFonts w:hint="eastAsia" w:ascii="新宋体" w:hAnsi="新宋体" w:eastAsia="新宋体" w:cs="新宋体"/>
          <w:b/>
          <w:bCs/>
          <w:color w:val="auto"/>
          <w:highlight w:val="none"/>
        </w:rPr>
        <w:t>（二）验收标准</w:t>
      </w:r>
    </w:p>
    <w:p>
      <w:pPr>
        <w:spacing w:line="36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根据中华人民共和国现行技术标准，按招标文件以及合同规定的验收评定标准等规范，由采购人根据《政府采购合同履约和验收管理办法（暂行）》（义公共资源交易管理办公室【2008】32号）文件</w:t>
      </w:r>
      <w:bookmarkStart w:id="3" w:name="filecode"/>
      <w:r>
        <w:rPr>
          <w:rFonts w:hint="eastAsia" w:ascii="新宋体" w:hAnsi="新宋体" w:eastAsia="新宋体" w:cs="新宋体"/>
          <w:color w:val="auto"/>
          <w:highlight w:val="none"/>
        </w:rPr>
        <w:t>、《义乌市人民政府关于进一步完善政府采购工作的若干规定》（义政发</w:t>
      </w:r>
      <w:bookmarkEnd w:id="3"/>
      <w:r>
        <w:rPr>
          <w:rFonts w:hint="eastAsia" w:ascii="新宋体" w:hAnsi="新宋体" w:eastAsia="新宋体" w:cs="新宋体"/>
          <w:color w:val="auto"/>
          <w:highlight w:val="none"/>
        </w:rPr>
        <w:t>〔</w:t>
      </w:r>
      <w:bookmarkStart w:id="4" w:name="fileyear"/>
      <w:r>
        <w:rPr>
          <w:rFonts w:hint="eastAsia" w:ascii="新宋体" w:hAnsi="新宋体" w:eastAsia="新宋体" w:cs="新宋体"/>
          <w:color w:val="auto"/>
          <w:highlight w:val="none"/>
        </w:rPr>
        <w:t>2012</w:t>
      </w:r>
      <w:bookmarkEnd w:id="4"/>
      <w:r>
        <w:rPr>
          <w:rFonts w:hint="eastAsia" w:ascii="新宋体" w:hAnsi="新宋体" w:eastAsia="新宋体" w:cs="新宋体"/>
          <w:color w:val="auto"/>
          <w:highlight w:val="none"/>
        </w:rPr>
        <w:t>〕</w:t>
      </w:r>
      <w:bookmarkStart w:id="5" w:name="fileno"/>
      <w:r>
        <w:rPr>
          <w:rFonts w:hint="eastAsia" w:ascii="新宋体" w:hAnsi="新宋体" w:eastAsia="新宋体" w:cs="新宋体"/>
          <w:color w:val="auto"/>
          <w:highlight w:val="none"/>
        </w:rPr>
        <w:t>72</w:t>
      </w:r>
      <w:bookmarkEnd w:id="5"/>
      <w:r>
        <w:rPr>
          <w:rFonts w:hint="eastAsia" w:ascii="新宋体" w:hAnsi="新宋体" w:eastAsia="新宋体" w:cs="新宋体"/>
          <w:color w:val="auto"/>
          <w:highlight w:val="none"/>
        </w:rPr>
        <w:t>号）文件及</w:t>
      </w:r>
      <w:r>
        <w:rPr>
          <w:rFonts w:hint="eastAsia" w:ascii="新宋体" w:hAnsi="新宋体" w:eastAsia="新宋体" w:cs="新宋体"/>
          <w:b/>
          <w:color w:val="auto"/>
          <w:highlight w:val="none"/>
        </w:rPr>
        <w:t>义卫发【2015】33号文件</w:t>
      </w:r>
      <w:r>
        <w:rPr>
          <w:rFonts w:hint="eastAsia" w:ascii="新宋体" w:hAnsi="新宋体" w:eastAsia="新宋体" w:cs="新宋体"/>
          <w:color w:val="auto"/>
          <w:highlight w:val="none"/>
        </w:rPr>
        <w:t>要求，组织验收。</w:t>
      </w:r>
    </w:p>
    <w:p>
      <w:pPr>
        <w:rPr>
          <w:rFonts w:hint="eastAsia" w:ascii="新宋体" w:hAnsi="新宋体" w:eastAsia="新宋体" w:cs="新宋体"/>
        </w:rPr>
      </w:pPr>
      <w:r>
        <w:rPr>
          <w:rFonts w:hint="eastAsia" w:ascii="新宋体" w:hAnsi="新宋体" w:eastAsia="新宋体" w:cs="新宋体"/>
          <w:lang w:val="en-US" w:eastAsia="zh-CN"/>
        </w:rPr>
        <w:t xml:space="preserve">    </w:t>
      </w:r>
      <w:r>
        <w:rPr>
          <w:rFonts w:hint="eastAsia" w:ascii="新宋体" w:hAnsi="新宋体" w:eastAsia="新宋体" w:cs="新宋体"/>
        </w:rPr>
        <w:t>验收不合格的产品将予以退回，并限供货商1个月内提供符合中标结果的产品，超出时限未提供或仍验收不合格的，解除中标合同，同时没收履约保证金，并纳入不良记录。</w:t>
      </w:r>
    </w:p>
    <w:p>
      <w:pPr>
        <w:numPr>
          <w:ilvl w:val="0"/>
          <w:numId w:val="3"/>
        </w:numPr>
        <w:spacing w:line="360" w:lineRule="exact"/>
        <w:ind w:firstLine="422" w:firstLineChars="200"/>
        <w:rPr>
          <w:rFonts w:hint="eastAsia" w:ascii="新宋体" w:hAnsi="新宋体" w:eastAsia="新宋体" w:cs="新宋体"/>
          <w:b/>
          <w:bCs/>
          <w:color w:val="auto"/>
          <w:highlight w:val="none"/>
        </w:rPr>
      </w:pPr>
      <w:r>
        <w:rPr>
          <w:rFonts w:hint="eastAsia" w:ascii="新宋体" w:hAnsi="新宋体" w:eastAsia="新宋体" w:cs="新宋体"/>
          <w:b/>
          <w:bCs/>
          <w:color w:val="auto"/>
          <w:highlight w:val="none"/>
        </w:rPr>
        <w:t>付款方式</w:t>
      </w:r>
    </w:p>
    <w:p>
      <w:pPr>
        <w:spacing w:line="360" w:lineRule="exact"/>
        <w:rPr>
          <w:rFonts w:hint="eastAsia" w:ascii="新宋体" w:hAnsi="新宋体" w:eastAsia="新宋体" w:cs="新宋体"/>
          <w:color w:val="000000"/>
          <w:sz w:val="24"/>
          <w:szCs w:val="24"/>
        </w:rPr>
      </w:pPr>
      <w:r>
        <w:rPr>
          <w:rFonts w:hint="eastAsia" w:ascii="新宋体" w:hAnsi="新宋体" w:eastAsia="新宋体" w:cs="新宋体"/>
          <w:color w:val="auto"/>
          <w:sz w:val="21"/>
          <w:szCs w:val="21"/>
          <w:highlight w:val="none"/>
          <w:lang w:val="en-US" w:eastAsia="zh-CN"/>
        </w:rPr>
        <w:t xml:space="preserve">    </w:t>
      </w:r>
      <w:r>
        <w:rPr>
          <w:rFonts w:hint="eastAsia" w:ascii="新宋体" w:hAnsi="新宋体" w:eastAsia="新宋体" w:cs="新宋体"/>
          <w:color w:val="auto"/>
          <w:sz w:val="21"/>
          <w:szCs w:val="21"/>
          <w:highlight w:val="none"/>
        </w:rPr>
        <w:t>1、</w:t>
      </w:r>
      <w:r>
        <w:rPr>
          <w:rFonts w:hint="eastAsia" w:ascii="新宋体" w:hAnsi="新宋体" w:eastAsia="新宋体" w:cs="新宋体"/>
          <w:color w:val="000000"/>
          <w:sz w:val="24"/>
          <w:szCs w:val="24"/>
        </w:rPr>
        <w:t>合同总价的90</w:t>
      </w:r>
      <w:r>
        <w:rPr>
          <w:rFonts w:hint="eastAsia" w:ascii="新宋体" w:hAnsi="新宋体" w:eastAsia="新宋体" w:cs="新宋体"/>
          <w:color w:val="0000FF"/>
          <w:sz w:val="24"/>
          <w:szCs w:val="24"/>
        </w:rPr>
        <w:t>%在暂扣非现金让利评审价</w:t>
      </w:r>
      <w:r>
        <w:rPr>
          <w:rFonts w:hint="eastAsia" w:ascii="新宋体" w:hAnsi="新宋体" w:eastAsia="新宋体" w:cs="新宋体"/>
          <w:color w:val="000000"/>
          <w:sz w:val="24"/>
          <w:szCs w:val="24"/>
        </w:rPr>
        <w:t>后，在全部设备到场安装验收合格后30个工作日内支付。暂扣部分金额在得到使用单位确认后支付，最迟不得晚于质保金支付期限。合同总价的10%，在设备验收合格正常工作满一年无质量问题后7个工作日内支付。（如使用单位有特殊要求的，在合同中另行约定）</w:t>
      </w:r>
    </w:p>
    <w:p>
      <w:pPr>
        <w:pStyle w:val="5"/>
        <w:spacing w:line="360" w:lineRule="exact"/>
        <w:rPr>
          <w:rFonts w:hint="eastAsia" w:ascii="新宋体" w:hAnsi="新宋体" w:eastAsia="新宋体" w:cs="新宋体"/>
          <w:b/>
          <w:bCs/>
          <w:color w:val="auto"/>
          <w:sz w:val="36"/>
          <w:szCs w:val="44"/>
          <w:highlight w:val="none"/>
        </w:rPr>
      </w:pPr>
      <w:r>
        <w:rPr>
          <w:rFonts w:hint="eastAsia" w:ascii="新宋体" w:hAnsi="新宋体" w:eastAsia="新宋体" w:cs="新宋体"/>
          <w:color w:val="auto"/>
          <w:szCs w:val="21"/>
          <w:highlight w:val="none"/>
          <w:lang w:val="en-US" w:eastAsia="zh-CN"/>
        </w:rPr>
        <w:t xml:space="preserve">    </w:t>
      </w:r>
      <w:r>
        <w:rPr>
          <w:rFonts w:hint="eastAsia" w:ascii="新宋体" w:hAnsi="新宋体" w:eastAsia="新宋体" w:cs="新宋体"/>
          <w:color w:val="auto"/>
          <w:szCs w:val="21"/>
          <w:highlight w:val="none"/>
        </w:rPr>
        <w:t>2、货款凭合同、发票、《政府采购验收单》，由义乌市各家</w:t>
      </w:r>
      <w:r>
        <w:rPr>
          <w:rFonts w:hint="eastAsia" w:ascii="新宋体" w:hAnsi="新宋体" w:eastAsia="新宋体" w:cs="新宋体"/>
          <w:color w:val="auto"/>
          <w:szCs w:val="21"/>
          <w:highlight w:val="none"/>
          <w:lang w:eastAsia="zh-CN"/>
        </w:rPr>
        <w:t>使用</w:t>
      </w:r>
      <w:r>
        <w:rPr>
          <w:rFonts w:hint="eastAsia" w:ascii="新宋体" w:hAnsi="新宋体" w:eastAsia="新宋体" w:cs="新宋体"/>
          <w:color w:val="auto"/>
          <w:szCs w:val="21"/>
          <w:highlight w:val="none"/>
        </w:rPr>
        <w:t>医院直接支付。</w:t>
      </w:r>
    </w:p>
    <w:p>
      <w:pPr>
        <w:pStyle w:val="5"/>
        <w:spacing w:line="360" w:lineRule="exact"/>
        <w:ind w:left="-2" w:leftChars="-1" w:firstLine="542" w:firstLineChars="150"/>
        <w:jc w:val="center"/>
        <w:rPr>
          <w:rFonts w:hint="eastAsia" w:ascii="新宋体" w:hAnsi="新宋体" w:eastAsia="新宋体" w:cs="新宋体"/>
          <w:color w:val="000000"/>
        </w:rPr>
      </w:pPr>
      <w:r>
        <w:rPr>
          <w:rFonts w:hint="eastAsia" w:ascii="新宋体" w:hAnsi="新宋体" w:eastAsia="新宋体" w:cs="新宋体"/>
          <w:b/>
          <w:bCs/>
          <w:color w:val="auto"/>
          <w:sz w:val="36"/>
          <w:szCs w:val="44"/>
          <w:highlight w:val="none"/>
        </w:rPr>
        <w:br w:type="page"/>
      </w:r>
      <w:r>
        <w:rPr>
          <w:rFonts w:hint="eastAsia" w:ascii="新宋体" w:hAnsi="新宋体" w:eastAsia="新宋体" w:cs="新宋体"/>
          <w:b/>
          <w:bCs/>
          <w:color w:val="000000"/>
          <w:sz w:val="36"/>
          <w:szCs w:val="44"/>
        </w:rPr>
        <w:t>第四章 谈判和评标须知</w:t>
      </w:r>
    </w:p>
    <w:p>
      <w:pPr>
        <w:pStyle w:val="5"/>
        <w:spacing w:line="370" w:lineRule="exact"/>
        <w:rPr>
          <w:rFonts w:hint="eastAsia" w:ascii="新宋体" w:hAnsi="新宋体" w:eastAsia="新宋体" w:cs="新宋体"/>
          <w:b/>
          <w:bCs/>
          <w:color w:val="000000"/>
          <w:szCs w:val="24"/>
        </w:rPr>
      </w:pPr>
      <w:r>
        <w:rPr>
          <w:rFonts w:hint="eastAsia" w:ascii="新宋体" w:hAnsi="新宋体" w:eastAsia="新宋体" w:cs="新宋体"/>
          <w:b/>
          <w:bCs/>
          <w:color w:val="000000"/>
        </w:rPr>
        <w:t>1.</w:t>
      </w:r>
      <w:r>
        <w:rPr>
          <w:rFonts w:hint="eastAsia" w:ascii="新宋体" w:hAnsi="新宋体" w:eastAsia="新宋体" w:cs="新宋体"/>
          <w:b/>
          <w:bCs/>
          <w:color w:val="000000"/>
          <w:szCs w:val="24"/>
        </w:rPr>
        <w:t>开标</w:t>
      </w:r>
    </w:p>
    <w:p>
      <w:pPr>
        <w:spacing w:line="36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1.1 采购方在谈判文件规定的时间和地点进行谈判竟标。</w:t>
      </w:r>
    </w:p>
    <w:p>
      <w:pPr>
        <w:spacing w:line="360" w:lineRule="exact"/>
        <w:ind w:firstLine="420" w:firstLineChars="200"/>
        <w:rPr>
          <w:rFonts w:hint="eastAsia" w:ascii="新宋体" w:hAnsi="新宋体" w:eastAsia="新宋体" w:cs="新宋体"/>
          <w:b/>
          <w:bCs/>
          <w:color w:val="000000"/>
        </w:rPr>
      </w:pPr>
      <w:r>
        <w:rPr>
          <w:rFonts w:hint="eastAsia" w:ascii="新宋体" w:hAnsi="新宋体" w:eastAsia="新宋体" w:cs="新宋体"/>
          <w:color w:val="000000"/>
        </w:rPr>
        <w:t>1.2投标方须由法定代表人或委托代理人参加。并随带身份证。</w:t>
      </w:r>
    </w:p>
    <w:p>
      <w:pPr>
        <w:spacing w:line="36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1.3开始谈判时，采购方将查检投标文件密封情况，先评技术标，后评商务标。</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 xml:space="preserve"> 2、谈判小组</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2.1 招标方将根据谈判采购货物的特点组成谈判。谈判小组由采购人代表和有关经济、技术等方面的专家组成。谈判小组对投标文件进行审查、质疑、评估和比较。</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2.2 询标期间，投标方法人代表或法人委托人必须在场。</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3、对投标文件的审查和响应性的确定</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3.1 开始谈判后，采购方将组织审查投标文件是否完整，要求的保证金是否已提供，文件是否恰当地签署。</w:t>
      </w:r>
      <w:r>
        <w:rPr>
          <w:rFonts w:hint="eastAsia" w:ascii="新宋体" w:hAnsi="新宋体" w:eastAsia="新宋体" w:cs="新宋体"/>
          <w:color w:val="000000"/>
          <w:szCs w:val="21"/>
        </w:rPr>
        <w:t>若大写金额与小写金额不一致，以大写金额为准。</w:t>
      </w:r>
      <w:r>
        <w:rPr>
          <w:rFonts w:hint="eastAsia" w:ascii="新宋体" w:hAnsi="新宋体" w:eastAsia="新宋体" w:cs="新宋体"/>
          <w:color w:val="000000"/>
        </w:rPr>
        <w:t>若投标方拒绝接受上述修正，其投标将被拒绝。</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3.2对于投标文件中不构成实质性偏差的不正规、不一致或不规则，招标方可以接受，但这种接受不能损害或影响任何投标人的相对排序。</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3.3在详细评标之前</w:t>
      </w:r>
      <w:r>
        <w:rPr>
          <w:rFonts w:hint="eastAsia" w:ascii="新宋体" w:hAnsi="新宋体" w:eastAsia="新宋体" w:cs="新宋体"/>
        </w:rPr>
        <w:t>，根据</w:t>
      </w:r>
      <w:r>
        <w:rPr>
          <w:rFonts w:hint="eastAsia" w:ascii="新宋体" w:hAnsi="新宋体" w:eastAsia="新宋体" w:cs="新宋体"/>
          <w:b/>
        </w:rPr>
        <w:t>第五章（无效标细则）</w:t>
      </w:r>
      <w:r>
        <w:rPr>
          <w:rFonts w:hint="eastAsia" w:ascii="新宋体" w:hAnsi="新宋体" w:eastAsia="新宋体" w:cs="新宋体"/>
        </w:rPr>
        <w:t>的</w:t>
      </w:r>
      <w:r>
        <w:rPr>
          <w:rFonts w:hint="eastAsia" w:ascii="新宋体" w:hAnsi="新宋体" w:eastAsia="新宋体" w:cs="新宋体"/>
          <w:color w:val="000000"/>
        </w:rPr>
        <w:t>规定，招标方要审查每份投标文件是否实质上响应了招标文件的要求。实质上响应的投标应该是与招标文件要求的全部条款、条件和规格相符，没有重大偏离的投标。对关键条文的偏离、保留或反对，</w:t>
      </w:r>
      <w:r>
        <w:rPr>
          <w:rFonts w:hint="eastAsia" w:ascii="新宋体" w:hAnsi="新宋体" w:eastAsia="新宋体" w:cs="新宋体"/>
          <w:b/>
          <w:color w:val="000000"/>
        </w:rPr>
        <w:t>例如关于“【*】”条款及特别说明为强制性要求的偏离将被认为是实质上的偏离。</w:t>
      </w:r>
      <w:r>
        <w:rPr>
          <w:rFonts w:hint="eastAsia" w:ascii="新宋体" w:hAnsi="新宋体" w:eastAsia="新宋体" w:cs="新宋体"/>
          <w:color w:val="000000"/>
        </w:rPr>
        <w:t>招标机构决定投标的响应性只根据投标文件的内容，而不寻求外部的证据。</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4、投标文件的澄清</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4.1在评标期间，谈判小组可要求投标人对其投标文件进行澄清，但不得寻求、提供或允许对投标价格等实质性内容做任何更改。有关澄清的要求和答复均应以书面形式提交。</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5、对投标文件的评估和比较</w:t>
      </w:r>
    </w:p>
    <w:p>
      <w:pPr>
        <w:spacing w:line="370" w:lineRule="exact"/>
        <w:ind w:firstLine="420" w:firstLineChars="200"/>
        <w:rPr>
          <w:rFonts w:hint="eastAsia" w:ascii="新宋体" w:hAnsi="新宋体" w:eastAsia="新宋体" w:cs="新宋体"/>
          <w:b/>
          <w:bCs/>
          <w:color w:val="000000"/>
        </w:rPr>
      </w:pPr>
      <w:r>
        <w:rPr>
          <w:rFonts w:hint="eastAsia" w:ascii="新宋体" w:hAnsi="新宋体" w:eastAsia="新宋体" w:cs="新宋体"/>
          <w:color w:val="000000"/>
        </w:rPr>
        <w:t>5.1 由谈判小组对各投标文件的全部内容进行审阅，并确定各投标文件是否合格有效。凡是对招标文件的实质性要约内容不作响应的投标，将被视为不合格的投标，而不予接受。经过审标，对其投标书中须要进行澄清的问题，将由谈判小组向投标人进行询标，投标人应接受询标、澄清；其记录须经投标人授权代表审阅签字，并应视作投标书的补充，对投标人具有约束力。</w:t>
      </w:r>
      <w:r>
        <w:rPr>
          <w:rFonts w:hint="eastAsia" w:ascii="新宋体" w:hAnsi="新宋体" w:eastAsia="新宋体" w:cs="新宋体"/>
          <w:b/>
          <w:bCs/>
          <w:color w:val="000000"/>
        </w:rPr>
        <w:t>评标过程中如发现有异常情况，由评委集体</w:t>
      </w:r>
      <w:r>
        <w:rPr>
          <w:rFonts w:hint="eastAsia" w:ascii="新宋体" w:hAnsi="新宋体" w:eastAsia="新宋体" w:cs="新宋体"/>
          <w:b/>
          <w:bCs/>
          <w:color w:val="000000"/>
          <w:lang w:eastAsia="zh-CN"/>
        </w:rPr>
        <w:t>投票</w:t>
      </w:r>
      <w:r>
        <w:rPr>
          <w:rFonts w:hint="eastAsia" w:ascii="新宋体" w:hAnsi="新宋体" w:eastAsia="新宋体" w:cs="新宋体"/>
          <w:b/>
          <w:bCs/>
          <w:color w:val="000000"/>
        </w:rPr>
        <w:t>决定。</w:t>
      </w:r>
    </w:p>
    <w:p>
      <w:pPr>
        <w:spacing w:line="370" w:lineRule="exact"/>
        <w:ind w:firstLine="420" w:firstLineChars="200"/>
        <w:rPr>
          <w:rFonts w:hint="eastAsia" w:ascii="新宋体" w:hAnsi="新宋体" w:eastAsia="新宋体" w:cs="新宋体"/>
          <w:b/>
          <w:color w:val="000000"/>
        </w:rPr>
      </w:pPr>
      <w:r>
        <w:rPr>
          <w:rFonts w:hint="eastAsia" w:ascii="新宋体" w:hAnsi="新宋体" w:eastAsia="新宋体" w:cs="新宋体"/>
          <w:color w:val="000000"/>
        </w:rPr>
        <w:t>5.2在审标、询标及调查考核的基础上，谈判小组按照平等、客观、公正的原则，根据评标办法进行综合评定，</w:t>
      </w:r>
      <w:r>
        <w:rPr>
          <w:rFonts w:hint="eastAsia" w:ascii="新宋体" w:hAnsi="新宋体" w:eastAsia="新宋体" w:cs="新宋体"/>
          <w:b/>
          <w:bCs/>
          <w:color w:val="000000"/>
        </w:rPr>
        <w:t>采用综合竞争性谈判确定，《评</w:t>
      </w:r>
      <w:r>
        <w:rPr>
          <w:rFonts w:hint="eastAsia" w:ascii="新宋体" w:hAnsi="新宋体" w:eastAsia="新宋体" w:cs="新宋体"/>
          <w:b/>
          <w:bCs/>
        </w:rPr>
        <w:t>标细则》见第六章。</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6、保密</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6.1 在开标投标期间，投标人不得向谈判小组成员询问评标情况，不得进行旨在影响评标结果的活动。</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6.2 为保证定标的公正性，在评标过程中，评标成员不得与投标人私人交换意见。在招标工作结束后，凡与评标情况有接触的任何人不得也不应将评标情况扩散出评标成员之外。</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6.3 谈判小组不向落标方解释落标原因，不退还投标文件。</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7、中标通知</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color w:val="000000"/>
        </w:rPr>
        <w:t>7.1评标结束，在指定媒体</w:t>
      </w:r>
      <w:r>
        <w:rPr>
          <w:rFonts w:hint="eastAsia" w:ascii="新宋体" w:hAnsi="新宋体" w:eastAsia="新宋体" w:cs="新宋体"/>
          <w:color w:val="auto"/>
          <w:highlight w:val="none"/>
        </w:rPr>
        <w:t>上公示</w:t>
      </w:r>
      <w:r>
        <w:rPr>
          <w:rFonts w:hint="eastAsia" w:ascii="新宋体" w:hAnsi="新宋体" w:eastAsia="新宋体" w:cs="新宋体"/>
          <w:color w:val="auto"/>
          <w:highlight w:val="none"/>
          <w:lang w:val="en-US" w:eastAsia="zh-CN"/>
        </w:rPr>
        <w:t>1</w:t>
      </w:r>
      <w:r>
        <w:rPr>
          <w:rFonts w:hint="eastAsia" w:ascii="新宋体" w:hAnsi="新宋体" w:eastAsia="新宋体" w:cs="新宋体"/>
          <w:color w:val="auto"/>
          <w:highlight w:val="none"/>
        </w:rPr>
        <w:t>个工作日</w:t>
      </w:r>
      <w:r>
        <w:rPr>
          <w:rFonts w:hint="eastAsia" w:ascii="新宋体" w:hAnsi="新宋体" w:eastAsia="新宋体" w:cs="新宋体"/>
          <w:highlight w:val="none"/>
        </w:rPr>
        <w:t>无</w:t>
      </w:r>
      <w:r>
        <w:rPr>
          <w:rFonts w:hint="eastAsia" w:ascii="新宋体" w:hAnsi="新宋体" w:eastAsia="新宋体" w:cs="新宋体"/>
        </w:rPr>
        <w:t>异议，由采购人签发《中标通知书》。中标的供应商须登录义乌市政府采购中心网站（http://zfcg.yiwu.gov.cn）,填写好相关的信息，再凭有效证明和缴纳履约保证金凭证（如有）复印件领取《中标通知书》。</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rPr>
        <w:t>7.2《中标通知书》将作为签订合同的重要依据。中标方按指定的时间、地点与采购人签订合同。</w:t>
      </w:r>
    </w:p>
    <w:p>
      <w:pPr>
        <w:spacing w:line="370" w:lineRule="exact"/>
        <w:rPr>
          <w:rFonts w:hint="eastAsia" w:ascii="新宋体" w:hAnsi="新宋体" w:eastAsia="新宋体" w:cs="新宋体"/>
          <w:b/>
        </w:rPr>
      </w:pPr>
      <w:r>
        <w:rPr>
          <w:rFonts w:hint="eastAsia" w:ascii="新宋体" w:hAnsi="新宋体" w:eastAsia="新宋体" w:cs="新宋体"/>
          <w:b/>
        </w:rPr>
        <w:t>8、对评标谈判过程和结果的质疑的受理及处理</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8.1采购方拒绝接受未参加本项目报名或已报名但未递交投标文件的供应商的质疑。</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8.2 谈判过程中，投标人对开标有异议的，应当在开标现场提出，招标人将当场做出答复，并制作相关记录。</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rPr>
        <w:t>8.3质疑受理须提交的资料：书面申请原件（须列明申诉理由，质疑单位名称，联系人，联系电话，手机，传真等，并加盖投标单位公章），复印件和传真件无效。质疑属于以下情况之一的，将不予受理：</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rPr>
        <w:t>8.3.1 质疑事项不具体，且未提供有效线索，难以查证；</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rPr>
        <w:t>8.3.2 已超过招标文件规定质疑提出期限的事项；</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rPr>
        <w:t>8.3.3 质疑的事项已经进入司法程序。</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rPr>
        <w:t>8.4谈判结束后，投标人或其他利害关系人对招标</w:t>
      </w:r>
      <w:r>
        <w:rPr>
          <w:rFonts w:hint="eastAsia" w:ascii="新宋体" w:hAnsi="新宋体" w:eastAsia="新宋体" w:cs="新宋体"/>
          <w:color w:val="000000"/>
        </w:rPr>
        <w:t>项目的评标结果有异议或质疑的，质疑资料须在评标结果公示期内以书面方式递交至：</w:t>
      </w:r>
      <w:r>
        <w:rPr>
          <w:rFonts w:hint="eastAsia" w:ascii="新宋体" w:hAnsi="新宋体" w:eastAsia="新宋体" w:cs="新宋体"/>
          <w:color w:val="auto"/>
        </w:rPr>
        <w:t>义乌市常春路97号卫生事务管理服务中心</w:t>
      </w:r>
      <w:r>
        <w:rPr>
          <w:rFonts w:hint="eastAsia" w:ascii="新宋体" w:hAnsi="新宋体" w:eastAsia="新宋体" w:cs="新宋体"/>
          <w:color w:val="auto"/>
          <w:lang w:val="en-US" w:eastAsia="zh-CN"/>
        </w:rPr>
        <w:t>3</w:t>
      </w:r>
      <w:r>
        <w:rPr>
          <w:rFonts w:hint="eastAsia" w:ascii="新宋体" w:hAnsi="新宋体" w:eastAsia="新宋体" w:cs="新宋体"/>
          <w:color w:val="auto"/>
        </w:rPr>
        <w:t>楼招标办公室，联系电</w:t>
      </w:r>
      <w:r>
        <w:rPr>
          <w:rFonts w:hint="eastAsia" w:ascii="新宋体" w:hAnsi="新宋体" w:eastAsia="新宋体" w:cs="新宋体"/>
          <w:color w:val="000000"/>
        </w:rPr>
        <w:t>话：</w:t>
      </w:r>
      <w:r>
        <w:rPr>
          <w:rFonts w:hint="eastAsia" w:ascii="新宋体" w:hAnsi="新宋体" w:eastAsia="新宋体" w:cs="新宋体"/>
          <w:sz w:val="23"/>
          <w:szCs w:val="23"/>
        </w:rPr>
        <w:t>0579-85528926</w:t>
      </w:r>
      <w:r>
        <w:rPr>
          <w:rFonts w:hint="eastAsia" w:ascii="新宋体" w:hAnsi="新宋体" w:eastAsia="新宋体" w:cs="新宋体"/>
        </w:rPr>
        <w:t>。招标人收到异议后应及时告知招投标监管部门并暂停招投标活动。招标人应当自收到异议之日起3日内作出书面答复，对3日内难以查实的，应当自收到异议之日起3日内作出受理异议的书面答复，查实后应及时作出书面答复并及时告知招投标监管部门；未作出答复前，应当暂停招投标活动。</w:t>
      </w:r>
    </w:p>
    <w:p>
      <w:pPr>
        <w:spacing w:line="370" w:lineRule="exact"/>
        <w:ind w:firstLine="420" w:firstLineChars="200"/>
        <w:rPr>
          <w:rFonts w:hint="eastAsia" w:ascii="新宋体" w:hAnsi="新宋体" w:eastAsia="新宋体" w:cs="新宋体"/>
        </w:rPr>
      </w:pPr>
      <w:r>
        <w:rPr>
          <w:rFonts w:hint="eastAsia" w:ascii="新宋体" w:hAnsi="新宋体" w:eastAsia="新宋体" w:cs="新宋体"/>
        </w:rPr>
        <w:t>8.5 若不接受招标人答复的，应当自招标人作出答复的次日起10日内以不接受招标人答复的事项向招投标监管部门提出投诉。投诉书需按规定递交，具体要求须列明申诉理由，投诉单位名称，联系人，联系电话，手机，传真等，并加盖投标单位公章。</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9、授予合同时变更数量的权利</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9.1 招标方在授予合同时有权对“招标货物清单及技术要求”中规定的货物数量在10％范围内予以增加或减少，但不得影响货物的整体性能及技术要求。</w:t>
      </w:r>
    </w:p>
    <w:p>
      <w:pPr>
        <w:spacing w:line="370" w:lineRule="exact"/>
        <w:rPr>
          <w:rFonts w:hint="eastAsia" w:ascii="新宋体" w:hAnsi="新宋体" w:eastAsia="新宋体" w:cs="新宋体"/>
          <w:b/>
          <w:color w:val="000000"/>
        </w:rPr>
      </w:pPr>
      <w:r>
        <w:rPr>
          <w:rFonts w:hint="eastAsia" w:ascii="新宋体" w:hAnsi="新宋体" w:eastAsia="新宋体" w:cs="新宋体"/>
          <w:b/>
          <w:color w:val="000000"/>
        </w:rPr>
        <w:t>10、签订合同</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10.1中标方按规定与采购人签订合同。</w:t>
      </w:r>
    </w:p>
    <w:p>
      <w:pPr>
        <w:spacing w:line="37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10.2招标文件、中标方的投标文件及澄清文件等，均为签订政府采购合同的依据,</w:t>
      </w:r>
      <w:r>
        <w:rPr>
          <w:rFonts w:hint="eastAsia" w:ascii="新宋体" w:hAnsi="新宋体" w:eastAsia="新宋体" w:cs="新宋体"/>
        </w:rPr>
        <w:t xml:space="preserve"> </w:t>
      </w:r>
      <w:r>
        <w:rPr>
          <w:rFonts w:hint="eastAsia" w:ascii="新宋体" w:hAnsi="新宋体" w:eastAsia="新宋体" w:cs="新宋体"/>
          <w:color w:val="000000"/>
        </w:rPr>
        <w:t>并</w:t>
      </w:r>
      <w:r>
        <w:rPr>
          <w:rFonts w:hint="eastAsia" w:ascii="新宋体" w:hAnsi="新宋体" w:eastAsia="新宋体" w:cs="新宋体"/>
          <w:b/>
          <w:color w:val="000000"/>
          <w:u w:val="single"/>
        </w:rPr>
        <w:t>在合同签订之日起七个工作日内报卫生事务管理服务中心备案</w:t>
      </w:r>
      <w:r>
        <w:rPr>
          <w:rFonts w:hint="eastAsia" w:ascii="新宋体" w:hAnsi="新宋体" w:eastAsia="新宋体" w:cs="新宋体"/>
          <w:color w:val="000000"/>
        </w:rPr>
        <w:t>。</w:t>
      </w:r>
    </w:p>
    <w:p>
      <w:pPr>
        <w:pStyle w:val="5"/>
        <w:jc w:val="center"/>
        <w:rPr>
          <w:rFonts w:hint="eastAsia" w:ascii="新宋体" w:hAnsi="新宋体" w:eastAsia="新宋体" w:cs="新宋体"/>
          <w:b/>
          <w:bCs/>
          <w:color w:val="000000"/>
          <w:sz w:val="36"/>
          <w:szCs w:val="44"/>
        </w:rPr>
      </w:pPr>
      <w:r>
        <w:rPr>
          <w:rFonts w:hint="eastAsia" w:ascii="新宋体" w:hAnsi="新宋体" w:eastAsia="新宋体" w:cs="新宋体"/>
          <w:b/>
          <w:bCs/>
          <w:color w:val="000000"/>
          <w:sz w:val="36"/>
          <w:szCs w:val="44"/>
        </w:rPr>
        <w:br w:type="page"/>
      </w:r>
      <w:r>
        <w:rPr>
          <w:rFonts w:hint="eastAsia" w:ascii="新宋体" w:hAnsi="新宋体" w:eastAsia="新宋体" w:cs="新宋体"/>
          <w:b/>
          <w:bCs/>
          <w:color w:val="000000"/>
          <w:sz w:val="36"/>
          <w:szCs w:val="44"/>
        </w:rPr>
        <w:t>第五章  无效标细则</w:t>
      </w:r>
    </w:p>
    <w:p>
      <w:pPr>
        <w:spacing w:line="370" w:lineRule="exact"/>
        <w:ind w:firstLine="422" w:firstLineChars="200"/>
        <w:rPr>
          <w:rFonts w:hint="eastAsia" w:ascii="新宋体" w:hAnsi="新宋体" w:eastAsia="新宋体" w:cs="新宋体"/>
          <w:b/>
          <w:bCs/>
          <w:color w:val="000000"/>
        </w:rPr>
      </w:pPr>
      <w:r>
        <w:rPr>
          <w:rFonts w:hint="eastAsia" w:ascii="新宋体" w:hAnsi="新宋体" w:eastAsia="新宋体" w:cs="新宋体"/>
          <w:b/>
          <w:color w:val="000000"/>
        </w:rPr>
        <w:t>实质上没有响应招标文件要求的投标将被拒绝。投标人不得通过修改或撤消不合要求的偏离或保留从而使其投标成为实质上响应的投标。</w:t>
      </w:r>
      <w:r>
        <w:rPr>
          <w:rFonts w:hint="eastAsia" w:ascii="新宋体" w:hAnsi="新宋体" w:eastAsia="新宋体" w:cs="新宋体"/>
          <w:b/>
          <w:bCs/>
          <w:color w:val="000000"/>
        </w:rPr>
        <w:t>如发现下列情况之一的，其投标将作为无效标（或废标）被拒绝：</w:t>
      </w:r>
    </w:p>
    <w:p>
      <w:pPr>
        <w:spacing w:line="370" w:lineRule="exact"/>
        <w:ind w:firstLine="422" w:firstLineChars="200"/>
        <w:rPr>
          <w:rFonts w:hint="eastAsia" w:ascii="新宋体" w:hAnsi="新宋体" w:eastAsia="新宋体" w:cs="新宋体"/>
          <w:b/>
          <w:color w:val="auto"/>
          <w:highlight w:val="none"/>
        </w:rPr>
      </w:pPr>
      <w:r>
        <w:rPr>
          <w:rFonts w:hint="eastAsia" w:ascii="新宋体" w:hAnsi="新宋体" w:eastAsia="新宋体" w:cs="新宋体"/>
          <w:b/>
          <w:color w:val="000000"/>
        </w:rPr>
        <w:t>1、</w:t>
      </w:r>
      <w:r>
        <w:rPr>
          <w:rFonts w:hint="eastAsia" w:ascii="新宋体" w:hAnsi="新宋体" w:eastAsia="新宋体" w:cs="新宋体"/>
          <w:color w:val="000000"/>
        </w:rPr>
        <w:t>未按招标文件规定提供相关文件，如资格证明、身份证明等；</w:t>
      </w:r>
      <w:r>
        <w:rPr>
          <w:rFonts w:hint="eastAsia" w:ascii="新宋体" w:hAnsi="新宋体" w:eastAsia="新宋体" w:cs="新宋体"/>
          <w:b/>
          <w:color w:val="auto"/>
          <w:highlight w:val="none"/>
        </w:rPr>
        <w:t>提供虚假资料的（含中标后查实的）；超出经营范围投标的。</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2、</w:t>
      </w:r>
      <w:r>
        <w:rPr>
          <w:rFonts w:hint="eastAsia" w:ascii="新宋体" w:hAnsi="新宋体" w:eastAsia="新宋体" w:cs="新宋体"/>
          <w:color w:val="000000"/>
        </w:rPr>
        <w:t>投标文件不符合采购文件规定，未按规定格式填写</w:t>
      </w:r>
      <w:r>
        <w:rPr>
          <w:rFonts w:hint="eastAsia" w:ascii="新宋体" w:hAnsi="新宋体" w:eastAsia="新宋体" w:cs="新宋体"/>
        </w:rPr>
        <w:t>，内容不全或关键字迹模糊、无法辨认的。</w:t>
      </w:r>
      <w:r>
        <w:rPr>
          <w:rFonts w:hint="eastAsia" w:ascii="新宋体" w:hAnsi="新宋体" w:eastAsia="新宋体" w:cs="新宋体"/>
          <w:u w:val="single"/>
        </w:rPr>
        <w:t>要求盖章处未加盖公章的，</w:t>
      </w:r>
      <w:r>
        <w:rPr>
          <w:rFonts w:hint="eastAsia" w:ascii="新宋体" w:hAnsi="新宋体" w:eastAsia="新宋体" w:cs="新宋体"/>
        </w:rPr>
        <w:t>涂改文件、伪造或编造投标文件的</w:t>
      </w:r>
      <w:r>
        <w:rPr>
          <w:rFonts w:hint="eastAsia" w:ascii="新宋体" w:hAnsi="新宋体" w:eastAsia="新宋体" w:cs="新宋体"/>
          <w:color w:val="000000"/>
        </w:rPr>
        <w:t>。</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3、</w:t>
      </w:r>
      <w:r>
        <w:rPr>
          <w:rFonts w:hint="eastAsia" w:ascii="新宋体" w:hAnsi="新宋体" w:eastAsia="新宋体" w:cs="新宋体"/>
          <w:color w:val="000000"/>
        </w:rPr>
        <w:t>借用或冒用他人名义或证件投标的。</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4、</w:t>
      </w:r>
      <w:r>
        <w:rPr>
          <w:rFonts w:hint="eastAsia" w:ascii="新宋体" w:hAnsi="新宋体" w:eastAsia="新宋体" w:cs="新宋体"/>
        </w:rPr>
        <w:t>投标人截止期后送达投标文件的，截止期后提供或到账投标保证金的，不提供投标保证金的。</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5、</w:t>
      </w:r>
      <w:r>
        <w:rPr>
          <w:rFonts w:hint="eastAsia" w:ascii="新宋体" w:hAnsi="新宋体" w:eastAsia="新宋体" w:cs="新宋体"/>
          <w:color w:val="000000"/>
        </w:rPr>
        <w:t>投标文件未密封或密封不完整，封口处未加盖单位公章或法定代表人（或法定代表人授权的代理人）签字或盖章的。</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6、</w:t>
      </w:r>
      <w:r>
        <w:rPr>
          <w:rFonts w:hint="eastAsia" w:ascii="新宋体" w:hAnsi="新宋体" w:eastAsia="新宋体" w:cs="新宋体"/>
          <w:color w:val="000000"/>
        </w:rPr>
        <w:t xml:space="preserve"> 参投货物的技术或商务与招标文件偏离的部分，</w:t>
      </w:r>
      <w:r>
        <w:rPr>
          <w:rFonts w:hint="eastAsia" w:ascii="新宋体" w:hAnsi="新宋体" w:eastAsia="新宋体" w:cs="新宋体"/>
          <w:color w:val="auto"/>
        </w:rPr>
        <w:t>超过6项以上（含6项）或谈</w:t>
      </w:r>
      <w:r>
        <w:rPr>
          <w:rFonts w:hint="eastAsia" w:ascii="新宋体" w:hAnsi="新宋体" w:eastAsia="新宋体" w:cs="新宋体"/>
          <w:color w:val="000000"/>
        </w:rPr>
        <w:t>判小组认为偏离的程度太大，或实质上不响应采购文件的（如有“【*】”标记的条款）。</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7、</w:t>
      </w:r>
      <w:r>
        <w:rPr>
          <w:rFonts w:hint="eastAsia" w:ascii="新宋体" w:hAnsi="新宋体" w:eastAsia="新宋体" w:cs="新宋体"/>
          <w:color w:val="000000"/>
        </w:rPr>
        <w:t>技术标中体现或包含主要采购设备的商务报价。</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8、</w:t>
      </w:r>
      <w:r>
        <w:rPr>
          <w:rFonts w:hint="eastAsia" w:ascii="新宋体" w:hAnsi="新宋体" w:eastAsia="新宋体" w:cs="新宋体"/>
          <w:color w:val="000000"/>
        </w:rPr>
        <w:t>投标中不同投标方的投标文件出现雷同或相似（包括部分雷同或相似），对所有雷同或相似投标人按无效标处理，采购方将保留进一步追究责任的权利。</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9、</w:t>
      </w:r>
      <w:r>
        <w:rPr>
          <w:rFonts w:hint="eastAsia" w:ascii="新宋体" w:hAnsi="新宋体" w:eastAsia="新宋体" w:cs="新宋体"/>
          <w:color w:val="000000"/>
        </w:rPr>
        <w:t>投标人递交二份内容不同的投标文件，或在一份投标</w:t>
      </w:r>
      <w:r>
        <w:rPr>
          <w:rFonts w:hint="eastAsia" w:ascii="新宋体" w:hAnsi="新宋体" w:eastAsia="新宋体" w:cs="新宋体"/>
        </w:rPr>
        <w:t>文件中对同一项目有二</w:t>
      </w:r>
      <w:r>
        <w:rPr>
          <w:rFonts w:hint="eastAsia" w:ascii="新宋体" w:hAnsi="新宋体" w:eastAsia="新宋体" w:cs="新宋体"/>
          <w:color w:val="000000"/>
        </w:rPr>
        <w:t>个或多个报价，且未声明哪个有效的。按照招标文件规定提交备选投标方案的除外。</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10、</w:t>
      </w:r>
      <w:r>
        <w:rPr>
          <w:rFonts w:hint="eastAsia" w:ascii="新宋体" w:hAnsi="新宋体" w:eastAsia="新宋体" w:cs="新宋体"/>
          <w:color w:val="000000"/>
        </w:rPr>
        <w:t>投标人名称或组织结构与资格审查时不一致，投标人不以自己真正身份参加竞标，以挂户或以他人名义参与竞标的，投标人不具备独立法人资格或具有独立承担民事责任能力的（如分公司、办事处等）。</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11、</w:t>
      </w:r>
      <w:r>
        <w:rPr>
          <w:rFonts w:hint="eastAsia" w:ascii="新宋体" w:hAnsi="新宋体" w:eastAsia="新宋体" w:cs="新宋体"/>
          <w:color w:val="000000"/>
          <w:szCs w:val="21"/>
        </w:rPr>
        <w:t>参加政府采购活动前三年内，在经营活动中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12、</w:t>
      </w:r>
      <w:r>
        <w:rPr>
          <w:rFonts w:hint="eastAsia" w:ascii="新宋体" w:hAnsi="新宋体" w:eastAsia="新宋体" w:cs="新宋体"/>
          <w:color w:val="000000"/>
        </w:rPr>
        <w:t>技术标中参投产品的品牌型号或技术参数、功能要求与商务标中不一致的。</w:t>
      </w:r>
    </w:p>
    <w:p>
      <w:pPr>
        <w:spacing w:line="370" w:lineRule="exact"/>
        <w:ind w:firstLine="422" w:firstLineChars="200"/>
        <w:rPr>
          <w:rFonts w:hint="eastAsia" w:ascii="新宋体" w:hAnsi="新宋体" w:eastAsia="新宋体" w:cs="新宋体"/>
          <w:color w:val="auto"/>
          <w:highlight w:val="none"/>
        </w:rPr>
      </w:pPr>
      <w:r>
        <w:rPr>
          <w:rFonts w:hint="eastAsia" w:ascii="新宋体" w:hAnsi="新宋体" w:eastAsia="新宋体" w:cs="新宋体"/>
          <w:b/>
          <w:color w:val="auto"/>
          <w:highlight w:val="none"/>
        </w:rPr>
        <w:t>13、</w:t>
      </w:r>
      <w:r>
        <w:rPr>
          <w:rFonts w:hint="eastAsia" w:ascii="新宋体" w:hAnsi="新宋体" w:eastAsia="新宋体" w:cs="新宋体"/>
          <w:color w:val="auto"/>
          <w:highlight w:val="none"/>
        </w:rPr>
        <w:t>如非市场最低价报价或用市场价低于本预算价8%设备参与投标者，将做无效标处理。</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rPr>
        <w:t>14、</w:t>
      </w:r>
      <w:r>
        <w:rPr>
          <w:rFonts w:hint="eastAsia" w:ascii="新宋体" w:hAnsi="新宋体" w:eastAsia="新宋体" w:cs="新宋体"/>
        </w:rPr>
        <w:t>招标方不接受低于成本的投标报价,报价超过</w:t>
      </w:r>
      <w:r>
        <w:rPr>
          <w:rFonts w:hint="eastAsia" w:ascii="新宋体" w:hAnsi="新宋体" w:eastAsia="新宋体" w:cs="新宋体"/>
          <w:color w:val="000000"/>
        </w:rPr>
        <w:t>预算的投标单位将作无效标处理。</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15、</w:t>
      </w:r>
      <w:r>
        <w:rPr>
          <w:rFonts w:hint="eastAsia" w:ascii="新宋体" w:hAnsi="新宋体" w:eastAsia="新宋体" w:cs="新宋体"/>
          <w:color w:val="000000"/>
        </w:rPr>
        <w:t>谈判小组一致认为最低投标报价或某些分项明显不合理，有降低质量、不能诚信履约的可能时，谈判小组有权通知投标方限期进行解释。如投标方未在规定期限内做出解释，或所作解释不合理，经谈判小组取得一致意见后，可确定该投标为无效标。</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16、</w:t>
      </w:r>
      <w:r>
        <w:rPr>
          <w:rFonts w:hint="eastAsia" w:ascii="新宋体" w:hAnsi="新宋体" w:eastAsia="新宋体" w:cs="新宋体"/>
          <w:color w:val="000000"/>
        </w:rPr>
        <w:t>其它不符合《政府采购法》或省、市有关政府采购法律、法规要求的。</w:t>
      </w:r>
    </w:p>
    <w:p>
      <w:pPr>
        <w:spacing w:line="370" w:lineRule="exact"/>
        <w:ind w:firstLine="422" w:firstLineChars="200"/>
        <w:rPr>
          <w:rFonts w:hint="eastAsia" w:ascii="新宋体" w:hAnsi="新宋体" w:eastAsia="新宋体" w:cs="新宋体"/>
          <w:color w:val="000000"/>
        </w:rPr>
      </w:pPr>
      <w:r>
        <w:rPr>
          <w:rFonts w:hint="eastAsia" w:ascii="新宋体" w:hAnsi="新宋体" w:eastAsia="新宋体" w:cs="新宋体"/>
          <w:b/>
          <w:color w:val="000000"/>
        </w:rPr>
        <w:t>17、</w:t>
      </w:r>
      <w:r>
        <w:rPr>
          <w:rFonts w:hint="eastAsia" w:ascii="新宋体" w:hAnsi="新宋体" w:eastAsia="新宋体" w:cs="新宋体"/>
          <w:color w:val="000000"/>
        </w:rPr>
        <w:t>除以上条款外，不得以其他内容（条款）为依据认定为无效标。</w:t>
      </w:r>
    </w:p>
    <w:p>
      <w:pPr>
        <w:spacing w:line="370" w:lineRule="exact"/>
        <w:ind w:firstLine="420" w:firstLineChars="200"/>
        <w:jc w:val="center"/>
        <w:rPr>
          <w:rFonts w:hint="eastAsia" w:ascii="新宋体" w:hAnsi="新宋体" w:eastAsia="新宋体" w:cs="新宋体"/>
          <w:b/>
          <w:bCs/>
          <w:color w:val="000000"/>
          <w:sz w:val="36"/>
          <w:szCs w:val="44"/>
        </w:rPr>
      </w:pPr>
      <w:r>
        <w:rPr>
          <w:rFonts w:hint="eastAsia" w:ascii="新宋体" w:hAnsi="新宋体" w:eastAsia="新宋体" w:cs="新宋体"/>
          <w:color w:val="000000"/>
        </w:rPr>
        <w:br w:type="page"/>
      </w:r>
      <w:r>
        <w:rPr>
          <w:rFonts w:hint="eastAsia" w:ascii="新宋体" w:hAnsi="新宋体" w:eastAsia="新宋体" w:cs="新宋体"/>
          <w:b/>
          <w:bCs/>
          <w:color w:val="000000"/>
          <w:sz w:val="36"/>
          <w:szCs w:val="44"/>
        </w:rPr>
        <w:t>第六章  评标细则</w:t>
      </w:r>
    </w:p>
    <w:p>
      <w:pPr>
        <w:spacing w:line="360" w:lineRule="exact"/>
        <w:ind w:firstLine="420" w:firstLineChars="200"/>
        <w:rPr>
          <w:rFonts w:hint="eastAsia" w:ascii="新宋体" w:hAnsi="新宋体" w:eastAsia="新宋体" w:cs="新宋体"/>
          <w:color w:val="000000"/>
        </w:rPr>
      </w:pPr>
      <w:r>
        <w:rPr>
          <w:rFonts w:hint="eastAsia" w:ascii="新宋体" w:hAnsi="新宋体" w:eastAsia="新宋体" w:cs="新宋体"/>
          <w:color w:val="000000"/>
        </w:rPr>
        <w:t>根据《中华人民共和国政府采购法》和义乌市的有关规定，为更好地做到公开、公平、公正，结合本次招标的特点，特制定本评标细则。</w:t>
      </w:r>
    </w:p>
    <w:p>
      <w:pPr>
        <w:spacing w:line="420" w:lineRule="exact"/>
        <w:rPr>
          <w:rFonts w:hint="eastAsia" w:ascii="新宋体" w:hAnsi="新宋体" w:eastAsia="新宋体" w:cs="新宋体"/>
          <w:b/>
          <w:bCs/>
          <w:color w:val="000000"/>
        </w:rPr>
      </w:pPr>
      <w:r>
        <w:rPr>
          <w:rFonts w:hint="eastAsia" w:ascii="新宋体" w:hAnsi="新宋体" w:eastAsia="新宋体" w:cs="新宋体"/>
          <w:b/>
          <w:bCs/>
          <w:color w:val="000000"/>
        </w:rPr>
        <w:t>一 、评标组织</w:t>
      </w:r>
    </w:p>
    <w:p>
      <w:pPr>
        <w:pStyle w:val="2"/>
        <w:spacing w:line="360" w:lineRule="auto"/>
        <w:ind w:firstLineChars="200"/>
        <w:rPr>
          <w:rFonts w:hint="eastAsia" w:ascii="新宋体" w:hAnsi="新宋体" w:eastAsia="新宋体" w:cs="新宋体"/>
          <w:color w:val="000000"/>
          <w:szCs w:val="24"/>
        </w:rPr>
      </w:pPr>
      <w:r>
        <w:rPr>
          <w:rFonts w:hint="eastAsia" w:ascii="新宋体" w:hAnsi="新宋体" w:eastAsia="新宋体" w:cs="新宋体"/>
          <w:color w:val="000000"/>
        </w:rPr>
        <w:t>采购方将根据招标采购货物的特点组成谈判小组。谈判小组由采购人代表和有关经济、技术等方面的专家组成。</w:t>
      </w:r>
    </w:p>
    <w:p>
      <w:pPr>
        <w:spacing w:line="420" w:lineRule="exact"/>
        <w:rPr>
          <w:rFonts w:hint="eastAsia" w:ascii="新宋体" w:hAnsi="新宋体" w:eastAsia="新宋体" w:cs="新宋体"/>
          <w:b/>
          <w:bCs/>
          <w:color w:val="000000"/>
        </w:rPr>
      </w:pPr>
      <w:r>
        <w:rPr>
          <w:rFonts w:hint="eastAsia" w:ascii="新宋体" w:hAnsi="新宋体" w:eastAsia="新宋体" w:cs="新宋体"/>
          <w:b/>
          <w:bCs/>
          <w:color w:val="000000"/>
        </w:rPr>
        <w:t>二 、评标原则和评标方法</w:t>
      </w:r>
    </w:p>
    <w:p>
      <w:pPr>
        <w:spacing w:line="360" w:lineRule="exact"/>
        <w:ind w:firstLine="420" w:firstLineChars="200"/>
        <w:rPr>
          <w:rFonts w:hint="eastAsia" w:ascii="新宋体" w:hAnsi="新宋体" w:eastAsia="新宋体" w:cs="新宋体"/>
          <w:b/>
          <w:bCs/>
        </w:rPr>
      </w:pPr>
      <w:r>
        <w:rPr>
          <w:rFonts w:hint="eastAsia" w:ascii="新宋体" w:hAnsi="新宋体" w:eastAsia="新宋体" w:cs="新宋体"/>
        </w:rPr>
        <w:t>开始竞标后，谈判小组首先对投标文件的完整性、符合性、响应性等进行审查。凡不符合有关规定或不响应谈判文件要求的投标文件将不进入评标范围。谈判小组以开标、审标、询标情况为基本依据，对有效的投标书及其投标人按评标内容进行分析、评议，先评技术标得分（</w:t>
      </w:r>
      <w:r>
        <w:rPr>
          <w:rFonts w:hint="eastAsia" w:ascii="新宋体" w:hAnsi="新宋体" w:eastAsia="新宋体" w:cs="新宋体"/>
          <w:b/>
        </w:rPr>
        <w:t>含资信与服务</w:t>
      </w:r>
      <w:r>
        <w:rPr>
          <w:rFonts w:hint="eastAsia" w:ascii="新宋体" w:hAnsi="新宋体" w:eastAsia="新宋体" w:cs="新宋体"/>
        </w:rPr>
        <w:t>），确定技术入围单位；再进入商务标的</w:t>
      </w:r>
      <w:r>
        <w:rPr>
          <w:rFonts w:hint="eastAsia" w:ascii="新宋体" w:hAnsi="新宋体" w:eastAsia="新宋体" w:cs="新宋体"/>
          <w:color w:val="auto"/>
        </w:rPr>
        <w:t>开标</w:t>
      </w:r>
      <w:r>
        <w:rPr>
          <w:rFonts w:hint="eastAsia" w:ascii="新宋体" w:hAnsi="新宋体" w:eastAsia="新宋体" w:cs="新宋体"/>
        </w:rPr>
        <w:t>；再评商务标，</w:t>
      </w:r>
      <w:r>
        <w:rPr>
          <w:rFonts w:hint="eastAsia" w:ascii="新宋体" w:hAnsi="新宋体" w:eastAsia="新宋体" w:cs="新宋体"/>
          <w:color w:val="000000"/>
        </w:rPr>
        <w:t>审查商务报价及其组价是否合理；</w:t>
      </w:r>
      <w:r>
        <w:rPr>
          <w:rFonts w:hint="eastAsia" w:ascii="新宋体" w:hAnsi="新宋体" w:eastAsia="新宋体" w:cs="新宋体"/>
          <w:b/>
        </w:rPr>
        <w:t>并由专家组决定是否继续竞价；最后按</w:t>
      </w:r>
      <w:r>
        <w:rPr>
          <w:rFonts w:hint="eastAsia" w:ascii="新宋体" w:hAnsi="新宋体" w:eastAsia="新宋体" w:cs="新宋体"/>
          <w:b/>
          <w:bCs/>
        </w:rPr>
        <w:t>竞争后的综合得分</w:t>
      </w:r>
      <w:r>
        <w:rPr>
          <w:rFonts w:hint="eastAsia" w:ascii="新宋体" w:hAnsi="新宋体" w:eastAsia="新宋体" w:cs="新宋体"/>
          <w:b/>
        </w:rPr>
        <w:t>确定中标单位。</w:t>
      </w:r>
      <w:r>
        <w:rPr>
          <w:rFonts w:hint="eastAsia" w:ascii="新宋体" w:hAnsi="新宋体" w:eastAsia="新宋体" w:cs="新宋体"/>
          <w:b/>
          <w:bCs/>
        </w:rPr>
        <w:t>评标过程中如发现有异常情况，由评委集体讨论决定。</w:t>
      </w:r>
    </w:p>
    <w:p>
      <w:pPr>
        <w:spacing w:line="360" w:lineRule="exact"/>
        <w:ind w:firstLine="420" w:firstLineChars="200"/>
        <w:rPr>
          <w:rFonts w:hint="eastAsia" w:ascii="新宋体" w:hAnsi="新宋体" w:eastAsia="新宋体" w:cs="新宋体"/>
        </w:rPr>
      </w:pPr>
      <w:r>
        <w:rPr>
          <w:rFonts w:hint="eastAsia" w:ascii="新宋体" w:hAnsi="新宋体" w:eastAsia="新宋体" w:cs="新宋体"/>
        </w:rPr>
        <w:t>不同供应商之间所投的是同一品牌产品的，应当按一个供应商认定，评审时取其中通过技术入围的项目报价最低的一家为有效供应商；当报价相同时，则以技术分最高那家为有效供应商；都相同时，由谈判小组集体决定。</w:t>
      </w:r>
    </w:p>
    <w:p>
      <w:pPr>
        <w:spacing w:line="360" w:lineRule="exact"/>
        <w:ind w:firstLine="420" w:firstLineChars="200"/>
        <w:rPr>
          <w:rFonts w:hint="eastAsia" w:ascii="新宋体" w:hAnsi="新宋体" w:eastAsia="新宋体" w:cs="新宋体"/>
        </w:rPr>
      </w:pPr>
      <w:r>
        <w:rPr>
          <w:rFonts w:hint="eastAsia" w:ascii="新宋体" w:hAnsi="新宋体" w:eastAsia="新宋体" w:cs="新宋体"/>
        </w:rPr>
        <w:t>多家代理商或经销商参加投标，如其中两家或两家以上供应商存在分级代理或代销关系，且提供的是其代理品牌产品，或其中两家及以上供应商的法定代表人为同一人、相互之间存在投资关系且达到控股的，应当按一个供应商认定。评审时取其中通过技术入围的项目报价最低的一家供为有效供应商；当报价相同时，则以技术分最高那家为有效供应商；都相同时，由谈判小组集体决定。</w:t>
      </w:r>
    </w:p>
    <w:p>
      <w:pPr>
        <w:spacing w:line="420" w:lineRule="exact"/>
        <w:rPr>
          <w:rFonts w:hint="eastAsia" w:ascii="新宋体" w:hAnsi="新宋体" w:eastAsia="新宋体" w:cs="新宋体"/>
          <w:b/>
        </w:rPr>
      </w:pPr>
      <w:r>
        <w:rPr>
          <w:rFonts w:hint="eastAsia" w:ascii="新宋体" w:hAnsi="新宋体" w:eastAsia="新宋体" w:cs="新宋体"/>
          <w:b/>
        </w:rPr>
        <w:t>三、具体评标内容</w:t>
      </w:r>
    </w:p>
    <w:p>
      <w:pPr>
        <w:pStyle w:val="5"/>
        <w:spacing w:after="156" w:afterLines="50" w:line="360" w:lineRule="auto"/>
        <w:ind w:firstLine="562" w:firstLineChars="200"/>
        <w:jc w:val="center"/>
        <w:rPr>
          <w:rFonts w:hint="eastAsia" w:ascii="新宋体" w:hAnsi="新宋体" w:eastAsia="新宋体" w:cs="新宋体"/>
          <w:color w:val="000000"/>
        </w:rPr>
      </w:pPr>
      <w:r>
        <w:rPr>
          <w:rFonts w:hint="eastAsia" w:ascii="新宋体" w:hAnsi="新宋体" w:eastAsia="新宋体" w:cs="新宋体"/>
          <w:color w:val="000000"/>
        </w:rPr>
        <w:t>（一）技术分满分</w:t>
      </w:r>
      <w:r>
        <w:rPr>
          <w:rFonts w:hint="eastAsia" w:ascii="新宋体" w:hAnsi="新宋体" w:eastAsia="新宋体" w:cs="新宋体"/>
        </w:rPr>
        <w:t>（</w:t>
      </w:r>
      <w:r>
        <w:rPr>
          <w:rFonts w:hint="eastAsia" w:ascii="新宋体" w:hAnsi="新宋体" w:eastAsia="新宋体" w:cs="新宋体"/>
          <w:b/>
        </w:rPr>
        <w:t>含资信与服务</w:t>
      </w:r>
      <w:r>
        <w:rPr>
          <w:rFonts w:hint="eastAsia" w:ascii="新宋体" w:hAnsi="新宋体" w:eastAsia="新宋体" w:cs="新宋体"/>
        </w:rPr>
        <w:t>）</w:t>
      </w:r>
      <w:r>
        <w:rPr>
          <w:rFonts w:hint="eastAsia" w:ascii="新宋体" w:hAnsi="新宋体" w:eastAsia="新宋体" w:cs="新宋体"/>
          <w:color w:val="000000"/>
        </w:rPr>
        <w:t>为40分，分值分配见表格。谈判小组根据表格，对各投标单位的技术标进行书面审核和评论后，由各专家独立酌情给分，打分时保留小数1位，每人一份评分表，并签名。在统计得分时，如果发现某一单项评分超过评分细则规定的分值范围，则该张评分表无效。投标人的技术标（即资信、业绩及技术性能等）的最终得分为谈判小组成员的有效评分（去掉一个最高分和一个最低分的――在评委人数达到五人及以上时选择使用）的算术平均值。计算时保留小数2位（第3位四舍五入）。</w:t>
      </w:r>
    </w:p>
    <w:p>
      <w:pPr>
        <w:rPr>
          <w:rFonts w:hint="eastAsia" w:ascii="宋体" w:hAnsi="宋体"/>
          <w:sz w:val="24"/>
        </w:rPr>
      </w:pPr>
      <w:r>
        <w:rPr>
          <w:rFonts w:hint="eastAsia" w:ascii="宋体" w:hAnsi="宋体"/>
          <w:b/>
          <w:color w:val="FF0000"/>
          <w:sz w:val="24"/>
          <w:lang w:val="en-US" w:eastAsia="zh-CN"/>
        </w:rPr>
        <w:t xml:space="preserve">                    </w:t>
      </w:r>
      <w:r>
        <w:rPr>
          <w:rFonts w:hint="eastAsia" w:ascii="宋体" w:hAnsi="宋体"/>
          <w:b/>
          <w:color w:val="FF0000"/>
          <w:sz w:val="24"/>
        </w:rPr>
        <w:t>（标一）</w:t>
      </w:r>
      <w:r>
        <w:rPr>
          <w:rFonts w:hint="eastAsia" w:ascii="宋体" w:hAnsi="宋体"/>
          <w:sz w:val="24"/>
        </w:rPr>
        <w:t>动态心电图+动态血压系统</w:t>
      </w:r>
    </w:p>
    <w:p>
      <w:pPr>
        <w:rPr>
          <w:rFonts w:hint="eastAsia" w:ascii="宋体" w:hAnsi="宋体"/>
          <w:sz w:val="24"/>
        </w:rPr>
      </w:pPr>
    </w:p>
    <w:tbl>
      <w:tblPr>
        <w:tblStyle w:val="12"/>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200"/>
        <w:gridCol w:w="1981"/>
        <w:gridCol w:w="524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3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szCs w:val="21"/>
              </w:rPr>
            </w:pPr>
            <w:r>
              <w:rPr>
                <w:rFonts w:hint="eastAsia" w:ascii="仿宋_GB2312" w:hAnsi="宋体" w:eastAsia="仿宋_GB2312"/>
                <w:b/>
                <w:bCs/>
                <w:szCs w:val="21"/>
              </w:rPr>
              <w:t>考评项目</w:t>
            </w:r>
          </w:p>
        </w:tc>
        <w:tc>
          <w:tcPr>
            <w:tcW w:w="5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szCs w:val="21"/>
              </w:rPr>
            </w:pPr>
            <w:r>
              <w:rPr>
                <w:rFonts w:hint="eastAsia" w:ascii="仿宋_GB2312" w:hAnsi="宋体" w:eastAsia="仿宋_GB2312"/>
                <w:b/>
                <w:bCs/>
                <w:szCs w:val="21"/>
              </w:rPr>
              <w:t>评分标准</w:t>
            </w: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bCs/>
                <w:szCs w:val="21"/>
              </w:rPr>
            </w:pPr>
            <w:r>
              <w:rPr>
                <w:rFonts w:hint="eastAsia" w:ascii="仿宋_GB2312" w:hAnsi="宋体" w:eastAsia="仿宋_GB2312"/>
                <w:b/>
                <w:bCs/>
                <w:szCs w:val="21"/>
              </w:rPr>
              <w:t>分数（分）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r>
              <w:rPr>
                <w:rFonts w:hint="eastAsia" w:ascii="宋体" w:hAnsi="宋体" w:cs="宋体"/>
                <w:color w:val="FF0000"/>
                <w:kern w:val="0"/>
                <w:sz w:val="24"/>
              </w:rPr>
              <w:t>具体技术指标</w:t>
            </w:r>
          </w:p>
        </w:tc>
        <w:tc>
          <w:tcPr>
            <w:tcW w:w="1200" w:type="dxa"/>
            <w:vMerge w:val="restart"/>
            <w:tcBorders>
              <w:top w:val="single" w:color="auto" w:sz="4" w:space="0"/>
              <w:left w:val="single" w:color="auto" w:sz="4" w:space="0"/>
              <w:right w:val="single" w:color="auto" w:sz="4" w:space="0"/>
            </w:tcBorders>
            <w:vAlign w:val="center"/>
          </w:tcPr>
          <w:p>
            <w:pPr>
              <w:jc w:val="center"/>
              <w:rPr>
                <w:rFonts w:ascii="宋体" w:hAnsi="宋体"/>
                <w:color w:val="FF0000"/>
                <w:sz w:val="24"/>
              </w:rPr>
            </w:pPr>
            <w:r>
              <w:rPr>
                <w:rFonts w:hint="eastAsia" w:ascii="宋体" w:hAnsi="宋体"/>
                <w:color w:val="FF0000"/>
                <w:sz w:val="24"/>
              </w:rPr>
              <w:t>动态心电图</w:t>
            </w:r>
          </w:p>
        </w:tc>
        <w:tc>
          <w:tcPr>
            <w:tcW w:w="1981" w:type="dxa"/>
            <w:tcBorders>
              <w:top w:val="single" w:color="auto" w:sz="4" w:space="0"/>
              <w:left w:val="single" w:color="auto" w:sz="4" w:space="0"/>
              <w:bottom w:val="single" w:color="auto" w:sz="4" w:space="0"/>
              <w:right w:val="single" w:color="auto" w:sz="4" w:space="0"/>
            </w:tcBorders>
            <w:vAlign w:val="top"/>
          </w:tcPr>
          <w:p>
            <w:pPr>
              <w:rPr>
                <w:color w:val="FF0000"/>
                <w:sz w:val="24"/>
              </w:rPr>
            </w:pPr>
            <w:r>
              <w:rPr>
                <w:rFonts w:hint="eastAsia" w:ascii="宋体" w:hAnsi="宋体"/>
                <w:color w:val="FF0000"/>
                <w:sz w:val="24"/>
              </w:rPr>
              <w:t>主机</w:t>
            </w:r>
          </w:p>
        </w:tc>
        <w:tc>
          <w:tcPr>
            <w:tcW w:w="5246" w:type="dxa"/>
            <w:vMerge w:val="restart"/>
            <w:tcBorders>
              <w:top w:val="single" w:color="auto" w:sz="4" w:space="0"/>
              <w:left w:val="single" w:color="auto" w:sz="4" w:space="0"/>
              <w:right w:val="single" w:color="auto" w:sz="4" w:space="0"/>
            </w:tcBorders>
            <w:vAlign w:val="center"/>
          </w:tcPr>
          <w:p>
            <w:pPr>
              <w:rPr>
                <w:rFonts w:ascii="宋体" w:hAnsi="宋体"/>
                <w:color w:val="FF0000"/>
                <w:sz w:val="24"/>
              </w:rPr>
            </w:pPr>
            <w:r>
              <w:rPr>
                <w:rFonts w:hint="eastAsia" w:ascii="宋体" w:hAnsi="宋体"/>
                <w:color w:val="FF0000"/>
                <w:sz w:val="24"/>
              </w:rPr>
              <w:t>根据参投产品的各项技术指标和功能要求与招标文件要求的符合性及品牌知名度等情况，酌情打分。</w:t>
            </w:r>
            <w:r>
              <w:rPr>
                <w:rFonts w:hint="eastAsia" w:ascii="宋体" w:hAnsi="宋体" w:cs="宋体"/>
                <w:color w:val="FF0000"/>
                <w:kern w:val="0"/>
                <w:sz w:val="24"/>
              </w:rPr>
              <w:t>所有不可偏离指标均满足且多数指标明显优于招标需求的，得5分；不可偏离指标满足且多数指标与招标需求基本一致的，得</w:t>
            </w:r>
            <w:r>
              <w:rPr>
                <w:rFonts w:hint="eastAsia" w:ascii="宋体" w:hAnsi="宋体" w:cs="宋体"/>
                <w:color w:val="FF0000"/>
                <w:kern w:val="0"/>
                <w:sz w:val="24"/>
                <w:lang w:val="en-US" w:eastAsia="zh-CN"/>
              </w:rPr>
              <w:t>3</w:t>
            </w:r>
            <w:r>
              <w:rPr>
                <w:rFonts w:hint="eastAsia" w:ascii="宋体" w:hAnsi="宋体" w:cs="宋体"/>
                <w:color w:val="FF0000"/>
                <w:kern w:val="0"/>
                <w:sz w:val="24"/>
              </w:rPr>
              <w:t>-4分；允许偏离的指标有较多低于招标需求的，得</w:t>
            </w:r>
            <w:r>
              <w:rPr>
                <w:rFonts w:hint="eastAsia" w:ascii="宋体" w:hAnsi="宋体" w:cs="宋体"/>
                <w:color w:val="FF0000"/>
                <w:kern w:val="0"/>
                <w:sz w:val="24"/>
                <w:lang w:val="en-US" w:eastAsia="zh-CN"/>
              </w:rPr>
              <w:t>0</w:t>
            </w:r>
            <w:r>
              <w:rPr>
                <w:rFonts w:hint="eastAsia" w:ascii="宋体" w:hAnsi="宋体" w:cs="宋体"/>
                <w:color w:val="FF0000"/>
                <w:kern w:val="0"/>
                <w:sz w:val="24"/>
              </w:rPr>
              <w:t>-</w:t>
            </w:r>
            <w:r>
              <w:rPr>
                <w:rFonts w:hint="eastAsia" w:ascii="宋体" w:hAnsi="宋体" w:cs="宋体"/>
                <w:color w:val="FF0000"/>
                <w:kern w:val="0"/>
                <w:sz w:val="24"/>
                <w:lang w:val="en-US" w:eastAsia="zh-CN"/>
              </w:rPr>
              <w:t>2</w:t>
            </w:r>
            <w:r>
              <w:rPr>
                <w:rFonts w:hint="eastAsia" w:ascii="宋体" w:hAnsi="宋体" w:cs="宋体"/>
                <w:color w:val="FF0000"/>
                <w:kern w:val="0"/>
                <w:sz w:val="24"/>
              </w:rPr>
              <w:t>分。</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kern w:val="0"/>
                <w:sz w:val="24"/>
              </w:rPr>
            </w:pPr>
          </w:p>
        </w:tc>
        <w:tc>
          <w:tcPr>
            <w:tcW w:w="1200" w:type="dxa"/>
            <w:vMerge w:val="continue"/>
            <w:tcBorders>
              <w:left w:val="single" w:color="auto" w:sz="4" w:space="0"/>
              <w:right w:val="single" w:color="auto" w:sz="4" w:space="0"/>
            </w:tcBorders>
            <w:vAlign w:val="center"/>
          </w:tcPr>
          <w:p>
            <w:pPr>
              <w:jc w:val="center"/>
              <w:rPr>
                <w:rFonts w:ascii="宋体" w:hAnsi="宋体"/>
                <w:color w:val="FF0000"/>
                <w:sz w:val="24"/>
              </w:rPr>
            </w:pPr>
          </w:p>
        </w:tc>
        <w:tc>
          <w:tcPr>
            <w:tcW w:w="1981" w:type="dxa"/>
            <w:tcBorders>
              <w:top w:val="single" w:color="auto" w:sz="4" w:space="0"/>
              <w:left w:val="single" w:color="auto" w:sz="4" w:space="0"/>
              <w:bottom w:val="single" w:color="auto" w:sz="4" w:space="0"/>
              <w:right w:val="single" w:color="auto" w:sz="4" w:space="0"/>
            </w:tcBorders>
            <w:vAlign w:val="top"/>
          </w:tcPr>
          <w:p>
            <w:pPr>
              <w:rPr>
                <w:color w:val="FF0000"/>
                <w:sz w:val="24"/>
              </w:rPr>
            </w:pPr>
            <w:r>
              <w:rPr>
                <w:rFonts w:hint="eastAsia" w:ascii="宋体" w:hAnsi="宋体"/>
                <w:color w:val="FF0000"/>
                <w:sz w:val="24"/>
              </w:rPr>
              <w:t>记录盒</w:t>
            </w:r>
          </w:p>
        </w:tc>
        <w:tc>
          <w:tcPr>
            <w:tcW w:w="5246" w:type="dxa"/>
            <w:vMerge w:val="continue"/>
            <w:tcBorders>
              <w:left w:val="single" w:color="auto" w:sz="4" w:space="0"/>
              <w:right w:val="single" w:color="auto" w:sz="4" w:space="0"/>
            </w:tcBorders>
            <w:vAlign w:val="center"/>
          </w:tcPr>
          <w:p>
            <w:pPr>
              <w:rPr>
                <w:rFonts w:hint="eastAsia" w:ascii="宋体" w:hAnsi="宋体"/>
                <w:color w:val="FF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kern w:val="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kern w:val="0"/>
                <w:sz w:val="24"/>
              </w:rPr>
            </w:pPr>
          </w:p>
        </w:tc>
        <w:tc>
          <w:tcPr>
            <w:tcW w:w="1200" w:type="dxa"/>
            <w:vMerge w:val="continue"/>
            <w:tcBorders>
              <w:left w:val="single" w:color="auto" w:sz="4" w:space="0"/>
              <w:bottom w:val="single" w:color="auto" w:sz="4" w:space="0"/>
              <w:right w:val="single" w:color="auto" w:sz="4" w:space="0"/>
            </w:tcBorders>
            <w:vAlign w:val="center"/>
          </w:tcPr>
          <w:p>
            <w:pPr>
              <w:jc w:val="center"/>
              <w:rPr>
                <w:rFonts w:ascii="宋体" w:hAnsi="宋体"/>
                <w:color w:val="FF0000"/>
                <w:sz w:val="24"/>
              </w:rPr>
            </w:pPr>
          </w:p>
        </w:tc>
        <w:tc>
          <w:tcPr>
            <w:tcW w:w="1981" w:type="dxa"/>
            <w:tcBorders>
              <w:top w:val="single" w:color="auto" w:sz="4" w:space="0"/>
              <w:left w:val="single" w:color="auto" w:sz="4" w:space="0"/>
              <w:bottom w:val="single" w:color="auto" w:sz="4" w:space="0"/>
              <w:right w:val="single" w:color="auto" w:sz="4" w:space="0"/>
            </w:tcBorders>
            <w:vAlign w:val="top"/>
          </w:tcPr>
          <w:p>
            <w:pPr>
              <w:rPr>
                <w:color w:val="FF0000"/>
                <w:sz w:val="24"/>
              </w:rPr>
            </w:pPr>
            <w:r>
              <w:rPr>
                <w:rFonts w:hint="eastAsia" w:ascii="宋体" w:hAnsi="宋体"/>
                <w:color w:val="FF0000"/>
                <w:sz w:val="24"/>
              </w:rPr>
              <w:t>软件分析功能</w:t>
            </w:r>
          </w:p>
        </w:tc>
        <w:tc>
          <w:tcPr>
            <w:tcW w:w="5246" w:type="dxa"/>
            <w:vMerge w:val="continue"/>
            <w:tcBorders>
              <w:left w:val="single" w:color="auto" w:sz="4" w:space="0"/>
              <w:right w:val="single" w:color="auto" w:sz="4" w:space="0"/>
            </w:tcBorders>
            <w:vAlign w:val="center"/>
          </w:tcPr>
          <w:p>
            <w:pPr>
              <w:rPr>
                <w:rFonts w:hint="eastAsia" w:ascii="宋体" w:hAnsi="宋体"/>
                <w:color w:val="FF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kern w:val="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kern w:val="0"/>
                <w:sz w:val="24"/>
              </w:rPr>
            </w:pPr>
          </w:p>
        </w:tc>
        <w:tc>
          <w:tcPr>
            <w:tcW w:w="1200" w:type="dxa"/>
            <w:vMerge w:val="restart"/>
            <w:tcBorders>
              <w:top w:val="single" w:color="auto" w:sz="4" w:space="0"/>
              <w:left w:val="single" w:color="auto" w:sz="4" w:space="0"/>
              <w:right w:val="single" w:color="auto" w:sz="4" w:space="0"/>
            </w:tcBorders>
            <w:vAlign w:val="center"/>
          </w:tcPr>
          <w:p>
            <w:pPr>
              <w:jc w:val="center"/>
              <w:rPr>
                <w:rFonts w:ascii="宋体" w:hAnsi="宋体"/>
                <w:color w:val="FF0000"/>
                <w:sz w:val="24"/>
              </w:rPr>
            </w:pPr>
            <w:r>
              <w:rPr>
                <w:rFonts w:hint="eastAsia" w:ascii="宋体" w:hAnsi="宋体"/>
                <w:color w:val="FF0000"/>
                <w:sz w:val="24"/>
              </w:rPr>
              <w:t>动态血压系统</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 w:val="24"/>
              </w:rPr>
            </w:pPr>
            <w:r>
              <w:rPr>
                <w:rFonts w:hint="eastAsia" w:ascii="宋体" w:hAnsi="宋体"/>
                <w:color w:val="FF0000"/>
                <w:sz w:val="24"/>
              </w:rPr>
              <w:t>整体测量性能</w:t>
            </w:r>
          </w:p>
        </w:tc>
        <w:tc>
          <w:tcPr>
            <w:tcW w:w="5246" w:type="dxa"/>
            <w:vMerge w:val="continue"/>
            <w:tcBorders>
              <w:left w:val="single" w:color="auto" w:sz="4" w:space="0"/>
              <w:right w:val="single" w:color="auto" w:sz="4" w:space="0"/>
            </w:tcBorders>
            <w:vAlign w:val="center"/>
          </w:tcPr>
          <w:p>
            <w:pPr>
              <w:rPr>
                <w:rFonts w:hint="eastAsia" w:ascii="宋体" w:hAnsi="宋体"/>
                <w:color w:val="FF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kern w:val="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kern w:val="0"/>
                <w:sz w:val="24"/>
              </w:rPr>
            </w:pPr>
          </w:p>
        </w:tc>
        <w:tc>
          <w:tcPr>
            <w:tcW w:w="1200" w:type="dxa"/>
            <w:vMerge w:val="continue"/>
            <w:tcBorders>
              <w:left w:val="single" w:color="auto" w:sz="4" w:space="0"/>
              <w:right w:val="single" w:color="auto" w:sz="4" w:space="0"/>
            </w:tcBorders>
            <w:vAlign w:val="center"/>
          </w:tcPr>
          <w:p>
            <w:pPr>
              <w:jc w:val="center"/>
              <w:rPr>
                <w:rFonts w:ascii="宋体" w:hAnsi="宋体"/>
                <w:color w:val="FF0000"/>
                <w:sz w:val="24"/>
              </w:rPr>
            </w:pP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 w:val="24"/>
              </w:rPr>
            </w:pPr>
            <w:r>
              <w:rPr>
                <w:rFonts w:hint="eastAsia" w:ascii="宋体" w:hAnsi="宋体"/>
                <w:color w:val="FF0000"/>
                <w:sz w:val="24"/>
              </w:rPr>
              <w:t>血压、心率范围</w:t>
            </w:r>
          </w:p>
        </w:tc>
        <w:tc>
          <w:tcPr>
            <w:tcW w:w="5246" w:type="dxa"/>
            <w:vMerge w:val="continue"/>
            <w:tcBorders>
              <w:left w:val="single" w:color="auto" w:sz="4" w:space="0"/>
              <w:right w:val="single" w:color="auto" w:sz="4" w:space="0"/>
            </w:tcBorders>
            <w:vAlign w:val="center"/>
          </w:tcPr>
          <w:p>
            <w:pPr>
              <w:rPr>
                <w:rFonts w:hint="eastAsia" w:ascii="宋体" w:hAnsi="宋体"/>
                <w:color w:val="FF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kern w:val="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kern w:val="0"/>
                <w:sz w:val="24"/>
              </w:rPr>
            </w:pPr>
          </w:p>
        </w:tc>
        <w:tc>
          <w:tcPr>
            <w:tcW w:w="1200" w:type="dxa"/>
            <w:vMerge w:val="continue"/>
            <w:tcBorders>
              <w:left w:val="single" w:color="auto" w:sz="4" w:space="0"/>
              <w:bottom w:val="single" w:color="auto" w:sz="4" w:space="0"/>
              <w:right w:val="single" w:color="auto" w:sz="4" w:space="0"/>
            </w:tcBorders>
            <w:vAlign w:val="center"/>
          </w:tcPr>
          <w:p>
            <w:pPr>
              <w:jc w:val="center"/>
              <w:rPr>
                <w:rFonts w:ascii="宋体" w:hAnsi="宋体"/>
                <w:color w:val="FF0000"/>
                <w:sz w:val="24"/>
              </w:rPr>
            </w:pP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 w:val="24"/>
              </w:rPr>
            </w:pPr>
            <w:r>
              <w:rPr>
                <w:rFonts w:hint="eastAsia" w:ascii="宋体" w:hAnsi="宋体"/>
                <w:color w:val="FF0000"/>
                <w:sz w:val="24"/>
              </w:rPr>
              <w:t>分析功能</w:t>
            </w:r>
          </w:p>
        </w:tc>
        <w:tc>
          <w:tcPr>
            <w:tcW w:w="5246" w:type="dxa"/>
            <w:vMerge w:val="continue"/>
            <w:tcBorders>
              <w:left w:val="single" w:color="auto" w:sz="4" w:space="0"/>
              <w:right w:val="single" w:color="auto" w:sz="4" w:space="0"/>
            </w:tcBorders>
            <w:vAlign w:val="center"/>
          </w:tcPr>
          <w:p>
            <w:pPr>
              <w:rPr>
                <w:rFonts w:hint="eastAsia" w:ascii="宋体" w:hAnsi="宋体"/>
                <w:color w:val="FF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kern w:val="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FF0000"/>
                <w:szCs w:val="21"/>
              </w:rPr>
            </w:pPr>
          </w:p>
        </w:tc>
        <w:tc>
          <w:tcPr>
            <w:tcW w:w="318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20" w:lineRule="exact"/>
              <w:jc w:val="center"/>
              <w:textAlignment w:val="center"/>
              <w:rPr>
                <w:rFonts w:hint="eastAsia" w:ascii="宋体" w:hAnsi="宋体"/>
                <w:color w:val="FF0000"/>
                <w:sz w:val="24"/>
              </w:rPr>
            </w:pPr>
            <w:r>
              <w:rPr>
                <w:rFonts w:hint="eastAsia" w:ascii="宋体" w:hAnsi="宋体"/>
                <w:color w:val="FF0000"/>
                <w:sz w:val="24"/>
              </w:rPr>
              <w:t>市场占有率</w:t>
            </w:r>
          </w:p>
        </w:tc>
        <w:tc>
          <w:tcPr>
            <w:tcW w:w="52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r>
              <w:rPr>
                <w:rFonts w:hint="eastAsia" w:ascii="宋体" w:hAnsi="宋体"/>
                <w:color w:val="FF0000"/>
                <w:sz w:val="24"/>
              </w:rPr>
              <w:t>根据参投产品的各项技术指标和功能要求与招标文件要求的符合性及品牌知名度等情况，酌情打分。</w:t>
            </w:r>
            <w:r>
              <w:rPr>
                <w:rFonts w:hint="eastAsia" w:ascii="宋体" w:hAnsi="宋体" w:cs="宋体"/>
                <w:color w:val="FF0000"/>
                <w:kern w:val="0"/>
                <w:sz w:val="24"/>
              </w:rPr>
              <w:t>所有不可偏离指标均满足且多数指标明显优于招标需求的，得3分；不可偏离指标满足且多数指标与招标需求基本一致的，得2-2.5分；允许偏离的指标有较多低于招标需求的，得</w:t>
            </w:r>
            <w:r>
              <w:rPr>
                <w:rFonts w:hint="eastAsia" w:ascii="宋体" w:hAnsi="宋体" w:cs="宋体"/>
                <w:color w:val="FF0000"/>
                <w:kern w:val="0"/>
                <w:sz w:val="24"/>
                <w:lang w:val="en-US" w:eastAsia="zh-CN"/>
              </w:rPr>
              <w:t>0</w:t>
            </w:r>
            <w:r>
              <w:rPr>
                <w:rFonts w:hint="eastAsia" w:ascii="宋体" w:hAnsi="宋体" w:cs="宋体"/>
                <w:color w:val="FF0000"/>
                <w:kern w:val="0"/>
                <w:sz w:val="24"/>
              </w:rPr>
              <w:t>-1.5分。</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kern w:val="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FF0000"/>
                <w:szCs w:val="21"/>
              </w:rPr>
            </w:pP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olor w:val="FF0000"/>
                <w:sz w:val="24"/>
              </w:rPr>
            </w:pPr>
            <w:r>
              <w:rPr>
                <w:rFonts w:hint="eastAsia" w:ascii="宋体" w:hAnsi="宋体"/>
                <w:color w:val="FF0000"/>
                <w:sz w:val="24"/>
              </w:rPr>
              <w:t>售后服务</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FF0000"/>
                <w:sz w:val="24"/>
              </w:rPr>
            </w:pPr>
            <w:r>
              <w:rPr>
                <w:rFonts w:hint="eastAsia" w:ascii="新宋体" w:hAnsi="新宋体" w:eastAsia="新宋体" w:cs="新宋体"/>
                <w:color w:val="0000FF"/>
                <w:szCs w:val="21"/>
              </w:rPr>
              <w:t>根据设备售后服务、配件、耗材的让利折扣进行打分，5折及以下得2.5-3分，5-6折，得1.5-2.5分，7-9折得0.5-1.5分，9折以上不得分。</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FF0000"/>
                <w:szCs w:val="21"/>
              </w:rPr>
            </w:pP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FF0000"/>
                <w:sz w:val="24"/>
              </w:rPr>
            </w:pPr>
            <w:r>
              <w:rPr>
                <w:rFonts w:hint="eastAsia" w:ascii="宋体" w:hAnsi="宋体"/>
                <w:color w:val="FF0000"/>
                <w:sz w:val="24"/>
              </w:rPr>
              <w:t>其他配置</w:t>
            </w:r>
          </w:p>
        </w:tc>
        <w:tc>
          <w:tcPr>
            <w:tcW w:w="52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r>
              <w:rPr>
                <w:rFonts w:hint="eastAsia" w:ascii="宋体" w:hAnsi="宋体"/>
                <w:color w:val="FF0000"/>
                <w:sz w:val="24"/>
              </w:rPr>
              <w:t>根据参投产品的各项技术指标和功能要求与招标文件要求的符合性及品牌知名度等情况，酌情打分。</w:t>
            </w:r>
            <w:r>
              <w:rPr>
                <w:rFonts w:hint="eastAsia" w:ascii="宋体" w:hAnsi="宋体" w:cs="宋体"/>
                <w:color w:val="FF0000"/>
                <w:kern w:val="0"/>
                <w:sz w:val="24"/>
              </w:rPr>
              <w:t>所有不可偏离指标均满足且多数指标明显优于招标需求的，得4分；不可偏离指标满足且多数指标与招标需求基本一致的，得2.5-3.5分；允许偏离的指标有较多低于招标需求的，得</w:t>
            </w:r>
            <w:r>
              <w:rPr>
                <w:rFonts w:hint="eastAsia" w:ascii="宋体" w:hAnsi="宋体" w:cs="宋体"/>
                <w:color w:val="FF0000"/>
                <w:kern w:val="0"/>
                <w:sz w:val="24"/>
                <w:lang w:val="en-US" w:eastAsia="zh-CN"/>
              </w:rPr>
              <w:t>0</w:t>
            </w:r>
            <w:r>
              <w:rPr>
                <w:rFonts w:hint="eastAsia" w:ascii="宋体" w:hAnsi="宋体" w:cs="宋体"/>
                <w:color w:val="FF0000"/>
                <w:kern w:val="0"/>
                <w:sz w:val="24"/>
              </w:rPr>
              <w:t>-2分。</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kern w:val="0"/>
                <w:sz w:val="24"/>
              </w:rPr>
            </w:pPr>
            <w:r>
              <w:rPr>
                <w:rFonts w:hint="eastAsia" w:ascii="宋体" w:hAnsi="宋体" w:cs="宋体"/>
                <w:color w:val="FF0000"/>
                <w:kern w:val="0"/>
                <w:sz w:val="24"/>
                <w:lang w:val="en-US" w:eastAsia="zh-CN"/>
              </w:rPr>
              <w:t>0</w:t>
            </w:r>
            <w:r>
              <w:rPr>
                <w:rFonts w:hint="eastAsia" w:ascii="宋体" w:hAnsi="宋体" w:cs="宋体"/>
                <w:color w:val="FF0000"/>
                <w:kern w:val="0"/>
                <w:sz w:val="24"/>
              </w:rPr>
              <w:t>-4</w:t>
            </w:r>
          </w:p>
        </w:tc>
      </w:tr>
    </w:tbl>
    <w:p>
      <w:pPr>
        <w:pStyle w:val="5"/>
        <w:spacing w:afterLines="50" w:line="360" w:lineRule="auto"/>
        <w:jc w:val="both"/>
        <w:rPr>
          <w:rFonts w:ascii="仿宋" w:hAnsi="仿宋" w:eastAsia="仿宋"/>
          <w:b/>
          <w:color w:val="FF0000"/>
          <w:sz w:val="28"/>
          <w:szCs w:val="28"/>
        </w:rPr>
      </w:pPr>
      <w:r>
        <w:rPr>
          <w:rFonts w:hint="eastAsia" w:ascii="仿宋" w:hAnsi="仿宋" w:eastAsia="仿宋"/>
          <w:b/>
          <w:color w:val="FF0000"/>
          <w:sz w:val="28"/>
          <w:szCs w:val="28"/>
        </w:rPr>
        <w:t>（标</w:t>
      </w:r>
      <w:r>
        <w:rPr>
          <w:rFonts w:hint="eastAsia" w:ascii="仿宋" w:hAnsi="仿宋" w:eastAsia="仿宋"/>
          <w:b/>
          <w:color w:val="FF0000"/>
          <w:sz w:val="28"/>
          <w:szCs w:val="28"/>
          <w:lang w:eastAsia="zh-CN"/>
        </w:rPr>
        <w:t>二</w:t>
      </w:r>
      <w:r>
        <w:rPr>
          <w:rFonts w:hint="eastAsia" w:ascii="仿宋" w:hAnsi="仿宋" w:eastAsia="仿宋"/>
          <w:b/>
          <w:color w:val="FF0000"/>
          <w:sz w:val="28"/>
          <w:szCs w:val="28"/>
        </w:rPr>
        <w:t>）</w:t>
      </w:r>
      <w:r>
        <w:rPr>
          <w:rFonts w:hint="eastAsia" w:ascii="仿宋" w:hAnsi="仿宋" w:eastAsia="仿宋"/>
          <w:b/>
          <w:color w:val="FF0000"/>
          <w:sz w:val="28"/>
          <w:szCs w:val="28"/>
          <w:lang w:eastAsia="zh-CN"/>
        </w:rPr>
        <w:t>除颤</w:t>
      </w:r>
      <w:r>
        <w:rPr>
          <w:rFonts w:hint="eastAsia" w:ascii="仿宋" w:hAnsi="仿宋" w:eastAsia="仿宋"/>
          <w:b/>
          <w:color w:val="FF0000"/>
          <w:sz w:val="28"/>
          <w:szCs w:val="28"/>
        </w:rPr>
        <w:t>监护仪/</w:t>
      </w:r>
      <w:r>
        <w:rPr>
          <w:rFonts w:hint="eastAsia" w:ascii="仿宋" w:hAnsi="仿宋" w:eastAsia="仿宋"/>
          <w:b/>
          <w:color w:val="FF0000"/>
          <w:sz w:val="28"/>
          <w:szCs w:val="28"/>
          <w:lang w:eastAsia="zh-CN"/>
        </w:rPr>
        <w:t>心电图机</w:t>
      </w:r>
      <w:r>
        <w:rPr>
          <w:rFonts w:hint="eastAsia" w:ascii="仿宋" w:hAnsi="仿宋" w:eastAsia="仿宋"/>
          <w:b/>
          <w:color w:val="FF0000"/>
          <w:sz w:val="28"/>
          <w:szCs w:val="28"/>
          <w:lang w:val="en-US" w:eastAsia="zh-CN"/>
        </w:rPr>
        <w:t>/</w:t>
      </w:r>
      <w:r>
        <w:rPr>
          <w:rFonts w:hint="eastAsia" w:ascii="仿宋" w:hAnsi="仿宋" w:eastAsia="仿宋"/>
          <w:b/>
          <w:color w:val="FF0000"/>
          <w:sz w:val="28"/>
          <w:szCs w:val="28"/>
          <w:lang w:eastAsia="zh-CN"/>
        </w:rPr>
        <w:t>胎儿</w:t>
      </w:r>
      <w:r>
        <w:rPr>
          <w:rFonts w:hint="eastAsia" w:ascii="仿宋" w:hAnsi="仿宋" w:eastAsia="仿宋"/>
          <w:b/>
          <w:color w:val="FF0000"/>
          <w:sz w:val="28"/>
          <w:szCs w:val="28"/>
        </w:rPr>
        <w:t>监护仪/</w:t>
      </w:r>
      <w:r>
        <w:rPr>
          <w:rFonts w:hint="eastAsia" w:ascii="仿宋" w:hAnsi="仿宋" w:eastAsia="仿宋"/>
          <w:b/>
          <w:color w:val="FF0000"/>
          <w:sz w:val="28"/>
          <w:szCs w:val="28"/>
          <w:lang w:eastAsia="zh-CN"/>
        </w:rPr>
        <w:t>胎儿</w:t>
      </w:r>
      <w:r>
        <w:rPr>
          <w:rFonts w:hint="eastAsia" w:ascii="仿宋" w:hAnsi="仿宋" w:eastAsia="仿宋"/>
          <w:b/>
          <w:color w:val="FF0000"/>
          <w:sz w:val="28"/>
          <w:szCs w:val="28"/>
        </w:rPr>
        <w:t>监护仪</w:t>
      </w:r>
      <w:r>
        <w:rPr>
          <w:rFonts w:hint="eastAsia" w:ascii="仿宋" w:hAnsi="仿宋" w:eastAsia="仿宋"/>
          <w:b/>
          <w:color w:val="FF0000"/>
          <w:sz w:val="28"/>
          <w:szCs w:val="28"/>
          <w:lang w:eastAsia="zh-CN"/>
        </w:rPr>
        <w:t>（一拖四）</w:t>
      </w:r>
    </w:p>
    <w:tbl>
      <w:tblPr>
        <w:tblStyle w:val="12"/>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2967"/>
        <w:gridCol w:w="546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3321" w:type="dxa"/>
            <w:gridSpan w:val="2"/>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考评项目</w:t>
            </w:r>
          </w:p>
        </w:tc>
        <w:tc>
          <w:tcPr>
            <w:tcW w:w="5460" w:type="dxa"/>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评分标准</w:t>
            </w:r>
          </w:p>
        </w:tc>
        <w:tc>
          <w:tcPr>
            <w:tcW w:w="1194" w:type="dxa"/>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分数（分）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354" w:type="dxa"/>
            <w:vMerge w:val="restart"/>
            <w:vAlign w:val="center"/>
          </w:tcPr>
          <w:p>
            <w:pPr>
              <w:jc w:val="center"/>
              <w:rPr>
                <w:rFonts w:ascii="宋体"/>
                <w:color w:val="FF0000"/>
                <w:sz w:val="24"/>
              </w:rPr>
            </w:pPr>
            <w:r>
              <w:rPr>
                <w:rFonts w:hint="eastAsia" w:ascii="宋体" w:hAnsi="宋体" w:cs="宋体"/>
                <w:color w:val="FF0000"/>
                <w:kern w:val="0"/>
                <w:sz w:val="24"/>
              </w:rPr>
              <w:t>具体技术指标</w:t>
            </w:r>
          </w:p>
        </w:tc>
        <w:tc>
          <w:tcPr>
            <w:tcW w:w="2967" w:type="dxa"/>
            <w:vAlign w:val="center"/>
          </w:tcPr>
          <w:p>
            <w:pPr>
              <w:jc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lang w:eastAsia="zh-CN"/>
              </w:rPr>
              <w:t>除颤</w:t>
            </w:r>
            <w:r>
              <w:rPr>
                <w:rFonts w:hint="eastAsia" w:asciiTheme="minorEastAsia" w:hAnsiTheme="minorEastAsia" w:eastAsiaTheme="minorEastAsia"/>
                <w:color w:val="FF0000"/>
                <w:sz w:val="24"/>
                <w:szCs w:val="24"/>
              </w:rPr>
              <w:t>监护仪</w:t>
            </w:r>
          </w:p>
        </w:tc>
        <w:tc>
          <w:tcPr>
            <w:tcW w:w="5460" w:type="dxa"/>
            <w:vMerge w:val="restart"/>
            <w:vAlign w:val="center"/>
          </w:tcPr>
          <w:p>
            <w:pPr>
              <w:rPr>
                <w:rFonts w:ascii="宋体"/>
                <w:color w:val="FF0000"/>
                <w:sz w:val="24"/>
              </w:rPr>
            </w:pPr>
            <w:r>
              <w:rPr>
                <w:rFonts w:hint="eastAsia" w:ascii="宋体" w:hAnsi="宋体"/>
                <w:color w:val="FF0000"/>
                <w:sz w:val="24"/>
              </w:rPr>
              <w:t>根据参投产品的各项技术指标和功能要求与招标文件要求的符合性及品牌知名度等情况，酌情打分。</w:t>
            </w:r>
            <w:r>
              <w:rPr>
                <w:rFonts w:hint="eastAsia" w:ascii="宋体" w:hAnsi="宋体" w:cs="宋体"/>
                <w:color w:val="FF0000"/>
                <w:kern w:val="0"/>
                <w:sz w:val="24"/>
              </w:rPr>
              <w:t>所有不可偏离指标均满足且多数指标明显优于招标需求的，得</w:t>
            </w:r>
            <w:r>
              <w:rPr>
                <w:rFonts w:hint="eastAsia" w:ascii="宋体" w:hAnsi="宋体" w:cs="宋体"/>
                <w:color w:val="FF0000"/>
                <w:kern w:val="0"/>
                <w:sz w:val="24"/>
                <w:lang w:val="en-US" w:eastAsia="zh-CN"/>
              </w:rPr>
              <w:t>7-8</w:t>
            </w:r>
            <w:r>
              <w:rPr>
                <w:rFonts w:hint="eastAsia" w:ascii="宋体" w:hAnsi="宋体" w:cs="宋体"/>
                <w:color w:val="FF0000"/>
                <w:kern w:val="0"/>
                <w:sz w:val="24"/>
              </w:rPr>
              <w:t>分；不可偏离指标满足且多数指标与招标需求基本一致的，得</w:t>
            </w:r>
            <w:r>
              <w:rPr>
                <w:rFonts w:hint="eastAsia" w:ascii="宋体" w:hAnsi="宋体" w:cs="宋体"/>
                <w:color w:val="FF0000"/>
                <w:kern w:val="0"/>
                <w:sz w:val="24"/>
                <w:lang w:val="en-US" w:eastAsia="zh-CN"/>
              </w:rPr>
              <w:t>4-6</w:t>
            </w:r>
            <w:r>
              <w:rPr>
                <w:rFonts w:hint="eastAsia" w:ascii="宋体" w:hAnsi="宋体" w:cs="宋体"/>
                <w:color w:val="FF0000"/>
                <w:kern w:val="0"/>
                <w:sz w:val="24"/>
              </w:rPr>
              <w:t>分；允许偏离的指标有较多低于招标需求的，得</w:t>
            </w:r>
            <w:r>
              <w:rPr>
                <w:rFonts w:hint="eastAsia" w:ascii="宋体" w:hAnsi="宋体" w:cs="宋体"/>
                <w:color w:val="FF0000"/>
                <w:kern w:val="0"/>
                <w:sz w:val="24"/>
                <w:lang w:val="en-US" w:eastAsia="zh-CN"/>
              </w:rPr>
              <w:t>1-3</w:t>
            </w:r>
            <w:r>
              <w:rPr>
                <w:rFonts w:hint="eastAsia" w:ascii="宋体" w:hAnsi="宋体" w:cs="宋体"/>
                <w:color w:val="FF0000"/>
                <w:kern w:val="0"/>
                <w:sz w:val="24"/>
              </w:rPr>
              <w:t>分。</w:t>
            </w:r>
          </w:p>
        </w:tc>
        <w:tc>
          <w:tcPr>
            <w:tcW w:w="1194" w:type="dxa"/>
            <w:vAlign w:val="center"/>
          </w:tcPr>
          <w:p>
            <w:pPr>
              <w:jc w:val="center"/>
              <w:rPr>
                <w:rFonts w:ascii="宋体"/>
                <w:color w:val="FF0000"/>
                <w:sz w:val="24"/>
              </w:rPr>
            </w:pPr>
            <w:r>
              <w:rPr>
                <w:rFonts w:ascii="宋体" w:hAnsi="宋体" w:cs="宋体"/>
                <w:color w:val="FF0000"/>
                <w:kern w:val="0"/>
                <w:sz w:val="24"/>
              </w:rPr>
              <w:t>1-</w:t>
            </w:r>
            <w:r>
              <w:rPr>
                <w:rFonts w:hint="eastAsia" w:ascii="宋体" w:hAnsi="宋体" w:cs="宋体"/>
                <w:color w:val="FF0000"/>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354" w:type="dxa"/>
            <w:vMerge w:val="continue"/>
            <w:vAlign w:val="center"/>
          </w:tcPr>
          <w:p>
            <w:pPr>
              <w:rPr>
                <w:rFonts w:ascii="宋体" w:cs="宋体"/>
                <w:color w:val="FF0000"/>
                <w:kern w:val="0"/>
                <w:sz w:val="24"/>
              </w:rPr>
            </w:pPr>
          </w:p>
        </w:tc>
        <w:tc>
          <w:tcPr>
            <w:tcW w:w="2967" w:type="dxa"/>
            <w:vAlign w:val="center"/>
          </w:tcPr>
          <w:p>
            <w:pPr>
              <w:jc w:val="center"/>
              <w:rPr>
                <w:rFonts w:hint="eastAsia" w:asciiTheme="minorEastAsia" w:hAnsiTheme="minorEastAsia" w:eastAsiaTheme="minorEastAsia"/>
                <w:color w:val="FF0000"/>
                <w:sz w:val="24"/>
                <w:szCs w:val="24"/>
                <w:lang w:eastAsia="zh-CN"/>
              </w:rPr>
            </w:pPr>
            <w:r>
              <w:rPr>
                <w:rFonts w:hint="eastAsia" w:asciiTheme="minorEastAsia" w:hAnsiTheme="minorEastAsia" w:eastAsiaTheme="minorEastAsia"/>
                <w:color w:val="FF0000"/>
                <w:sz w:val="24"/>
                <w:szCs w:val="24"/>
                <w:lang w:eastAsia="zh-CN"/>
              </w:rPr>
              <w:t>心电图机</w:t>
            </w:r>
          </w:p>
        </w:tc>
        <w:tc>
          <w:tcPr>
            <w:tcW w:w="5460" w:type="dxa"/>
            <w:vMerge w:val="continue"/>
            <w:vAlign w:val="center"/>
          </w:tcPr>
          <w:p>
            <w:pPr>
              <w:rPr>
                <w:rFonts w:ascii="宋体"/>
                <w:color w:val="FF0000"/>
                <w:sz w:val="24"/>
              </w:rPr>
            </w:pPr>
          </w:p>
        </w:tc>
        <w:tc>
          <w:tcPr>
            <w:tcW w:w="1194" w:type="dxa"/>
            <w:vAlign w:val="center"/>
          </w:tcPr>
          <w:p>
            <w:pPr>
              <w:jc w:val="center"/>
              <w:rPr>
                <w:rFonts w:asci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354" w:type="dxa"/>
            <w:vMerge w:val="continue"/>
            <w:vAlign w:val="center"/>
          </w:tcPr>
          <w:p>
            <w:pPr>
              <w:rPr>
                <w:rFonts w:ascii="宋体" w:cs="宋体"/>
                <w:color w:val="FF0000"/>
                <w:kern w:val="0"/>
                <w:sz w:val="24"/>
              </w:rPr>
            </w:pPr>
          </w:p>
        </w:tc>
        <w:tc>
          <w:tcPr>
            <w:tcW w:w="2967" w:type="dxa"/>
            <w:vAlign w:val="center"/>
          </w:tcPr>
          <w:p>
            <w:pPr>
              <w:jc w:val="center"/>
              <w:rPr>
                <w:rFonts w:hint="eastAsia"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lang w:eastAsia="zh-CN"/>
              </w:rPr>
              <w:t>胎儿</w:t>
            </w:r>
            <w:r>
              <w:rPr>
                <w:rFonts w:hint="eastAsia" w:asciiTheme="minorEastAsia" w:hAnsiTheme="minorEastAsia" w:eastAsiaTheme="minorEastAsia"/>
                <w:color w:val="FF0000"/>
                <w:sz w:val="24"/>
                <w:szCs w:val="24"/>
              </w:rPr>
              <w:t>监护仪</w:t>
            </w:r>
          </w:p>
        </w:tc>
        <w:tc>
          <w:tcPr>
            <w:tcW w:w="5460" w:type="dxa"/>
            <w:vMerge w:val="continue"/>
            <w:vAlign w:val="center"/>
          </w:tcPr>
          <w:p>
            <w:pPr>
              <w:rPr>
                <w:rFonts w:ascii="宋体"/>
                <w:color w:val="FF0000"/>
                <w:sz w:val="24"/>
              </w:rPr>
            </w:pPr>
          </w:p>
        </w:tc>
        <w:tc>
          <w:tcPr>
            <w:tcW w:w="1194" w:type="dxa"/>
            <w:vAlign w:val="center"/>
          </w:tcPr>
          <w:p>
            <w:pPr>
              <w:jc w:val="center"/>
              <w:rPr>
                <w:rFonts w:asci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354" w:type="dxa"/>
            <w:vMerge w:val="continue"/>
            <w:vAlign w:val="center"/>
          </w:tcPr>
          <w:p>
            <w:pPr>
              <w:rPr>
                <w:rFonts w:ascii="宋体" w:cs="宋体"/>
                <w:color w:val="FF0000"/>
                <w:kern w:val="0"/>
                <w:sz w:val="24"/>
              </w:rPr>
            </w:pPr>
          </w:p>
        </w:tc>
        <w:tc>
          <w:tcPr>
            <w:tcW w:w="2967" w:type="dxa"/>
            <w:vAlign w:val="center"/>
          </w:tcPr>
          <w:p>
            <w:pPr>
              <w:jc w:val="center"/>
              <w:rPr>
                <w:rFonts w:hint="eastAsia"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lang w:eastAsia="zh-CN"/>
              </w:rPr>
              <w:t>胎儿</w:t>
            </w:r>
            <w:r>
              <w:rPr>
                <w:rFonts w:hint="eastAsia" w:asciiTheme="minorEastAsia" w:hAnsiTheme="minorEastAsia" w:eastAsiaTheme="minorEastAsia"/>
                <w:color w:val="FF0000"/>
                <w:sz w:val="24"/>
                <w:szCs w:val="24"/>
              </w:rPr>
              <w:t>监护仪</w:t>
            </w:r>
            <w:r>
              <w:rPr>
                <w:rFonts w:hint="eastAsia" w:asciiTheme="minorEastAsia" w:hAnsiTheme="minorEastAsia" w:eastAsiaTheme="minorEastAsia"/>
                <w:color w:val="FF0000"/>
                <w:sz w:val="24"/>
                <w:szCs w:val="24"/>
                <w:lang w:eastAsia="zh-CN"/>
              </w:rPr>
              <w:t>（一拖四）</w:t>
            </w:r>
          </w:p>
        </w:tc>
        <w:tc>
          <w:tcPr>
            <w:tcW w:w="5460" w:type="dxa"/>
            <w:vMerge w:val="continue"/>
            <w:vAlign w:val="center"/>
          </w:tcPr>
          <w:p>
            <w:pPr>
              <w:rPr>
                <w:rFonts w:ascii="宋体"/>
                <w:color w:val="FF0000"/>
                <w:sz w:val="24"/>
              </w:rPr>
            </w:pPr>
          </w:p>
        </w:tc>
        <w:tc>
          <w:tcPr>
            <w:tcW w:w="1194" w:type="dxa"/>
            <w:vAlign w:val="center"/>
          </w:tcPr>
          <w:p>
            <w:pPr>
              <w:jc w:val="center"/>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354" w:type="dxa"/>
            <w:vMerge w:val="continue"/>
            <w:vAlign w:val="center"/>
          </w:tcPr>
          <w:p>
            <w:pPr>
              <w:widowControl/>
              <w:jc w:val="left"/>
              <w:rPr>
                <w:rFonts w:ascii="仿宋_GB2312" w:hAnsi="宋体" w:eastAsia="仿宋_GB2312"/>
                <w:color w:val="FF0000"/>
              </w:rPr>
            </w:pPr>
          </w:p>
        </w:tc>
        <w:tc>
          <w:tcPr>
            <w:tcW w:w="2967" w:type="dxa"/>
            <w:vAlign w:val="center"/>
          </w:tcPr>
          <w:p>
            <w:pPr>
              <w:autoSpaceDE w:val="0"/>
              <w:autoSpaceDN w:val="0"/>
              <w:spacing w:line="420" w:lineRule="exact"/>
              <w:jc w:val="center"/>
              <w:textAlignment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市场占有率</w:t>
            </w:r>
          </w:p>
        </w:tc>
        <w:tc>
          <w:tcPr>
            <w:tcW w:w="5460" w:type="dxa"/>
            <w:vAlign w:val="center"/>
          </w:tcPr>
          <w:p>
            <w:pPr>
              <w:rPr>
                <w:rFonts w:ascii="宋体"/>
                <w:color w:val="FF0000"/>
                <w:sz w:val="24"/>
              </w:rPr>
            </w:pPr>
            <w:r>
              <w:rPr>
                <w:rFonts w:hint="eastAsia" w:ascii="宋体" w:hAnsi="宋体"/>
                <w:color w:val="FF0000"/>
                <w:sz w:val="24"/>
              </w:rPr>
              <w:t>根据参投产品的各项技术指标和功能要求与招标文件要求的符合性及品牌知名度等情况，酌情打分。</w:t>
            </w:r>
            <w:r>
              <w:rPr>
                <w:rFonts w:hint="eastAsia" w:ascii="宋体" w:hAnsi="宋体" w:cs="宋体"/>
                <w:color w:val="FF0000"/>
                <w:kern w:val="0"/>
                <w:sz w:val="24"/>
              </w:rPr>
              <w:t>所有不可偏离指标均满足且多数指标明显优于招标需求的，得</w:t>
            </w:r>
            <w:r>
              <w:rPr>
                <w:rFonts w:ascii="宋体" w:hAnsi="宋体" w:cs="宋体"/>
                <w:color w:val="FF0000"/>
                <w:kern w:val="0"/>
                <w:sz w:val="24"/>
              </w:rPr>
              <w:t>3</w:t>
            </w:r>
            <w:r>
              <w:rPr>
                <w:rFonts w:hint="eastAsia" w:ascii="宋体" w:hAnsi="宋体" w:cs="宋体"/>
                <w:color w:val="FF0000"/>
                <w:kern w:val="0"/>
                <w:sz w:val="24"/>
              </w:rPr>
              <w:t>分；不可偏离指标满足且多数指标与招标需求基本一致的，得</w:t>
            </w:r>
            <w:r>
              <w:rPr>
                <w:rFonts w:ascii="宋体" w:hAnsi="宋体" w:cs="宋体"/>
                <w:color w:val="FF0000"/>
                <w:kern w:val="0"/>
                <w:sz w:val="24"/>
              </w:rPr>
              <w:t>2-2.5</w:t>
            </w:r>
            <w:r>
              <w:rPr>
                <w:rFonts w:hint="eastAsia" w:ascii="宋体" w:hAnsi="宋体" w:cs="宋体"/>
                <w:color w:val="FF0000"/>
                <w:kern w:val="0"/>
                <w:sz w:val="24"/>
              </w:rPr>
              <w:t>分；允许偏离的指标有较多低于招标需求的，得</w:t>
            </w:r>
            <w:r>
              <w:rPr>
                <w:rFonts w:hint="eastAsia" w:ascii="宋体" w:hAnsi="宋体" w:cs="宋体"/>
                <w:color w:val="FF0000"/>
                <w:kern w:val="0"/>
                <w:sz w:val="24"/>
                <w:lang w:val="en-US" w:eastAsia="zh-CN"/>
              </w:rPr>
              <w:t>0</w:t>
            </w:r>
            <w:r>
              <w:rPr>
                <w:rFonts w:ascii="宋体" w:hAnsi="宋体" w:cs="宋体"/>
                <w:color w:val="FF0000"/>
                <w:kern w:val="0"/>
                <w:sz w:val="24"/>
              </w:rPr>
              <w:t>-1.5</w:t>
            </w:r>
            <w:r>
              <w:rPr>
                <w:rFonts w:hint="eastAsia" w:ascii="宋体" w:hAnsi="宋体" w:cs="宋体"/>
                <w:color w:val="FF0000"/>
                <w:kern w:val="0"/>
                <w:sz w:val="24"/>
              </w:rPr>
              <w:t>分。</w:t>
            </w:r>
          </w:p>
        </w:tc>
        <w:tc>
          <w:tcPr>
            <w:tcW w:w="1194" w:type="dxa"/>
            <w:vAlign w:val="center"/>
          </w:tcPr>
          <w:p>
            <w:pPr>
              <w:jc w:val="center"/>
              <w:rPr>
                <w:rFonts w:ascii="宋体" w:hAnsi="宋体" w:cs="宋体"/>
                <w:color w:val="FF0000"/>
                <w:kern w:val="0"/>
                <w:sz w:val="24"/>
              </w:rPr>
            </w:pPr>
            <w:r>
              <w:rPr>
                <w:rFonts w:hint="eastAsia" w:ascii="宋体" w:hAnsi="宋体" w:cs="宋体"/>
                <w:color w:val="FF0000"/>
                <w:kern w:val="0"/>
                <w:sz w:val="24"/>
                <w:lang w:val="en-US" w:eastAsia="zh-CN"/>
              </w:rPr>
              <w:t>0</w:t>
            </w:r>
            <w:r>
              <w:rPr>
                <w:rFonts w:ascii="宋体" w:hAnsi="宋体" w:cs="宋体"/>
                <w:color w:val="FF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54" w:type="dxa"/>
            <w:vMerge w:val="continue"/>
            <w:vAlign w:val="center"/>
          </w:tcPr>
          <w:p>
            <w:pPr>
              <w:widowControl/>
              <w:jc w:val="left"/>
              <w:rPr>
                <w:rFonts w:ascii="仿宋_GB2312" w:hAnsi="宋体" w:eastAsia="仿宋_GB2312"/>
                <w:color w:val="FF0000"/>
              </w:rPr>
            </w:pPr>
          </w:p>
        </w:tc>
        <w:tc>
          <w:tcPr>
            <w:tcW w:w="2967" w:type="dxa"/>
            <w:vAlign w:val="center"/>
          </w:tcPr>
          <w:p>
            <w:pPr>
              <w:spacing w:line="380" w:lineRule="exact"/>
              <w:jc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售后服务</w:t>
            </w:r>
          </w:p>
        </w:tc>
        <w:tc>
          <w:tcPr>
            <w:tcW w:w="5460" w:type="dxa"/>
            <w:vAlign w:val="center"/>
          </w:tcPr>
          <w:p>
            <w:pPr>
              <w:widowControl/>
              <w:jc w:val="left"/>
              <w:rPr>
                <w:rFonts w:ascii="宋体"/>
                <w:color w:val="FF0000"/>
                <w:sz w:val="24"/>
              </w:rPr>
            </w:pPr>
            <w:r>
              <w:rPr>
                <w:rFonts w:hint="eastAsia" w:ascii="新宋体" w:hAnsi="新宋体" w:eastAsia="新宋体" w:cs="新宋体"/>
                <w:color w:val="0000FF"/>
                <w:szCs w:val="21"/>
              </w:rPr>
              <w:t>根据设备售后服务、配件、耗材的让利折扣进行打分，5折及以下得2.5-3分，5-6折，得1.5-2.5分，7-9折得0.5-1.5分，9折以上不得分。</w:t>
            </w:r>
          </w:p>
        </w:tc>
        <w:tc>
          <w:tcPr>
            <w:tcW w:w="1194" w:type="dxa"/>
            <w:vAlign w:val="center"/>
          </w:tcPr>
          <w:p>
            <w:pPr>
              <w:jc w:val="center"/>
              <w:rPr>
                <w:rFonts w:ascii="宋体"/>
                <w:color w:val="FF0000"/>
                <w:sz w:val="24"/>
              </w:rPr>
            </w:pPr>
            <w:r>
              <w:rPr>
                <w:rFonts w:hint="eastAsia" w:ascii="宋体" w:hAnsi="宋体" w:cs="宋体"/>
                <w:color w:val="FF0000"/>
                <w:kern w:val="0"/>
                <w:sz w:val="24"/>
                <w:lang w:val="en-US" w:eastAsia="zh-CN"/>
              </w:rPr>
              <w:t>0</w:t>
            </w:r>
            <w:r>
              <w:rPr>
                <w:rFonts w:ascii="宋体" w:hAnsi="宋体" w:cs="宋体"/>
                <w:color w:val="FF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354" w:type="dxa"/>
            <w:vMerge w:val="continue"/>
            <w:vAlign w:val="center"/>
          </w:tcPr>
          <w:p>
            <w:pPr>
              <w:widowControl/>
              <w:jc w:val="left"/>
              <w:rPr>
                <w:rFonts w:ascii="仿宋_GB2312" w:hAnsi="宋体" w:eastAsia="仿宋_GB2312"/>
                <w:color w:val="FF0000"/>
              </w:rPr>
            </w:pPr>
          </w:p>
        </w:tc>
        <w:tc>
          <w:tcPr>
            <w:tcW w:w="2967" w:type="dxa"/>
            <w:vAlign w:val="center"/>
          </w:tcPr>
          <w:p>
            <w:pPr>
              <w:spacing w:line="380" w:lineRule="exact"/>
              <w:jc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其他配置</w:t>
            </w:r>
          </w:p>
        </w:tc>
        <w:tc>
          <w:tcPr>
            <w:tcW w:w="5460" w:type="dxa"/>
            <w:vAlign w:val="center"/>
          </w:tcPr>
          <w:p>
            <w:pPr>
              <w:rPr>
                <w:rFonts w:ascii="宋体"/>
                <w:color w:val="FF0000"/>
                <w:sz w:val="24"/>
              </w:rPr>
            </w:pPr>
            <w:r>
              <w:rPr>
                <w:rFonts w:hint="eastAsia" w:ascii="宋体" w:hAnsi="宋体"/>
                <w:color w:val="FF0000"/>
                <w:sz w:val="24"/>
              </w:rPr>
              <w:t>根据参投产品的各项技术指标和功能要求与招标文件要求的符合性及品牌知名度等情况，酌情打分。</w:t>
            </w:r>
            <w:r>
              <w:rPr>
                <w:rFonts w:hint="eastAsia" w:ascii="宋体" w:hAnsi="宋体" w:cs="宋体"/>
                <w:color w:val="FF0000"/>
                <w:kern w:val="0"/>
                <w:sz w:val="24"/>
              </w:rPr>
              <w:t>所有不可偏离指标均满足且多数指标明显优于招标需求的，得</w:t>
            </w:r>
            <w:r>
              <w:rPr>
                <w:rFonts w:hint="eastAsia" w:ascii="宋体" w:hAnsi="宋体" w:cs="宋体"/>
                <w:color w:val="FF0000"/>
                <w:kern w:val="0"/>
                <w:sz w:val="24"/>
                <w:lang w:val="en-US" w:eastAsia="zh-CN"/>
              </w:rPr>
              <w:t>2</w:t>
            </w:r>
            <w:r>
              <w:rPr>
                <w:rFonts w:hint="eastAsia" w:ascii="宋体" w:hAnsi="宋体" w:cs="宋体"/>
                <w:color w:val="FF0000"/>
                <w:kern w:val="0"/>
                <w:sz w:val="24"/>
              </w:rPr>
              <w:t>分；不可偏离指标满足且多数指标与招标需求基本一致的，得</w:t>
            </w:r>
            <w:r>
              <w:rPr>
                <w:rFonts w:hint="eastAsia" w:ascii="宋体" w:hAnsi="宋体" w:cs="宋体"/>
                <w:color w:val="FF0000"/>
                <w:kern w:val="0"/>
                <w:sz w:val="24"/>
                <w:lang w:val="en-US" w:eastAsia="zh-CN"/>
              </w:rPr>
              <w:t>1</w:t>
            </w:r>
            <w:r>
              <w:rPr>
                <w:rFonts w:hint="eastAsia" w:ascii="宋体" w:hAnsi="宋体" w:cs="宋体"/>
                <w:color w:val="FF0000"/>
                <w:kern w:val="0"/>
                <w:sz w:val="24"/>
              </w:rPr>
              <w:t>-</w:t>
            </w:r>
            <w:r>
              <w:rPr>
                <w:rFonts w:hint="eastAsia" w:ascii="宋体" w:hAnsi="宋体" w:cs="宋体"/>
                <w:color w:val="FF0000"/>
                <w:kern w:val="0"/>
                <w:sz w:val="24"/>
                <w:lang w:val="en-US" w:eastAsia="zh-CN"/>
              </w:rPr>
              <w:t>1</w:t>
            </w:r>
            <w:r>
              <w:rPr>
                <w:rFonts w:hint="eastAsia" w:ascii="宋体" w:hAnsi="宋体" w:cs="宋体"/>
                <w:color w:val="FF0000"/>
                <w:kern w:val="0"/>
                <w:sz w:val="24"/>
              </w:rPr>
              <w:t>.5分；允许偏离的指标有较多低于招标需求的，得</w:t>
            </w:r>
            <w:r>
              <w:rPr>
                <w:rFonts w:hint="eastAsia" w:ascii="宋体" w:hAnsi="宋体" w:cs="宋体"/>
                <w:color w:val="FF0000"/>
                <w:kern w:val="0"/>
                <w:sz w:val="24"/>
                <w:lang w:val="en-US" w:eastAsia="zh-CN"/>
              </w:rPr>
              <w:t>0</w:t>
            </w:r>
            <w:r>
              <w:rPr>
                <w:rFonts w:ascii="宋体" w:hAnsi="宋体" w:cs="宋体"/>
                <w:color w:val="FF0000"/>
                <w:kern w:val="0"/>
                <w:sz w:val="24"/>
              </w:rPr>
              <w:t>-</w:t>
            </w:r>
            <w:r>
              <w:rPr>
                <w:rFonts w:hint="eastAsia" w:ascii="宋体" w:hAnsi="宋体" w:cs="宋体"/>
                <w:color w:val="FF0000"/>
                <w:kern w:val="0"/>
                <w:sz w:val="24"/>
                <w:lang w:val="en-US" w:eastAsia="zh-CN"/>
              </w:rPr>
              <w:t>1</w:t>
            </w:r>
            <w:r>
              <w:rPr>
                <w:rFonts w:hint="eastAsia" w:ascii="宋体" w:hAnsi="宋体" w:cs="宋体"/>
                <w:color w:val="FF0000"/>
                <w:kern w:val="0"/>
                <w:sz w:val="24"/>
              </w:rPr>
              <w:t>分。</w:t>
            </w:r>
          </w:p>
        </w:tc>
        <w:tc>
          <w:tcPr>
            <w:tcW w:w="1194" w:type="dxa"/>
            <w:vAlign w:val="center"/>
          </w:tcPr>
          <w:p>
            <w:pPr>
              <w:jc w:val="center"/>
              <w:rPr>
                <w:rFonts w:hint="eastAsia" w:ascii="宋体" w:cs="宋体"/>
                <w:color w:val="FF0000"/>
                <w:kern w:val="0"/>
                <w:sz w:val="24"/>
              </w:rPr>
            </w:pPr>
            <w:r>
              <w:rPr>
                <w:rFonts w:hint="eastAsia" w:ascii="宋体" w:hAnsi="宋体" w:cs="宋体"/>
                <w:color w:val="FF0000"/>
                <w:kern w:val="0"/>
                <w:sz w:val="24"/>
                <w:lang w:val="en-US" w:eastAsia="zh-CN"/>
              </w:rPr>
              <w:t>0</w:t>
            </w:r>
            <w:r>
              <w:rPr>
                <w:rFonts w:ascii="宋体" w:hAnsi="宋体" w:cs="宋体"/>
                <w:color w:val="FF0000"/>
                <w:kern w:val="0"/>
                <w:sz w:val="24"/>
              </w:rPr>
              <w:t>-</w:t>
            </w:r>
            <w:r>
              <w:rPr>
                <w:rFonts w:hint="eastAsia" w:ascii="宋体" w:hAnsi="宋体" w:cs="宋体"/>
                <w:color w:val="FF0000"/>
                <w:kern w:val="0"/>
                <w:sz w:val="24"/>
                <w:lang w:val="en-US" w:eastAsia="zh-CN"/>
              </w:rPr>
              <w:t>2</w:t>
            </w:r>
          </w:p>
        </w:tc>
      </w:tr>
    </w:tbl>
    <w:p>
      <w:pPr>
        <w:rPr>
          <w:rFonts w:ascii="宋体"/>
          <w:color w:val="FF0000"/>
          <w:sz w:val="24"/>
        </w:rPr>
      </w:pPr>
      <w:r>
        <w:rPr>
          <w:rFonts w:hint="eastAsia" w:ascii="宋体"/>
          <w:color w:val="FF0000"/>
          <w:sz w:val="24"/>
        </w:rPr>
        <w:t>以上评分内容仅限对未打“</w:t>
      </w:r>
      <w:r>
        <w:rPr>
          <w:rFonts w:hint="eastAsia" w:ascii="宋体" w:hAnsi="宋体"/>
          <w:color w:val="FF0000"/>
          <w:sz w:val="24"/>
        </w:rPr>
        <w:t>★</w:t>
      </w:r>
      <w:r>
        <w:rPr>
          <w:rFonts w:hint="eastAsia" w:ascii="宋体"/>
          <w:color w:val="FF0000"/>
          <w:sz w:val="24"/>
        </w:rPr>
        <w:t>”条款进行评分</w:t>
      </w:r>
    </w:p>
    <w:p>
      <w:pPr>
        <w:rPr>
          <w:rFonts w:ascii="新宋体" w:hAnsi="新宋体" w:eastAsia="新宋体" w:cs="新宋体"/>
        </w:rPr>
      </w:pPr>
    </w:p>
    <w:p>
      <w:pPr>
        <w:rPr>
          <w:rFonts w:hint="eastAsia" w:ascii="新宋体" w:hAnsi="新宋体" w:eastAsia="新宋体" w:cs="新宋体"/>
          <w:color w:val="FF0000"/>
          <w:sz w:val="24"/>
        </w:rPr>
      </w:pPr>
      <w:r>
        <w:rPr>
          <w:rFonts w:hint="eastAsia" w:ascii="新宋体" w:hAnsi="新宋体" w:eastAsia="新宋体" w:cs="新宋体"/>
          <w:b/>
          <w:color w:val="FF0000"/>
          <w:szCs w:val="21"/>
        </w:rPr>
        <w:t>评定技术标入围单位</w:t>
      </w:r>
      <w:r>
        <w:rPr>
          <w:rFonts w:hint="eastAsia" w:ascii="新宋体" w:hAnsi="新宋体" w:eastAsia="新宋体" w:cs="新宋体"/>
          <w:color w:val="FF0000"/>
          <w:szCs w:val="21"/>
        </w:rPr>
        <w:t>。</w:t>
      </w:r>
      <w:r>
        <w:rPr>
          <w:rFonts w:hint="eastAsia" w:ascii="新宋体" w:hAnsi="新宋体" w:eastAsia="新宋体" w:cs="新宋体"/>
          <w:b/>
          <w:bCs/>
          <w:color w:val="FF0000"/>
          <w:szCs w:val="21"/>
          <w:u w:val="single"/>
        </w:rPr>
        <w:t>技术得分大于等于</w:t>
      </w:r>
      <w:r>
        <w:rPr>
          <w:rFonts w:hint="eastAsia" w:ascii="新宋体" w:hAnsi="新宋体" w:eastAsia="新宋体" w:cs="新宋体"/>
          <w:b/>
          <w:bCs/>
          <w:color w:val="FF0000"/>
          <w:szCs w:val="21"/>
          <w:u w:val="single"/>
          <w:lang w:val="en-US" w:eastAsia="zh-CN"/>
        </w:rPr>
        <w:t>28</w:t>
      </w:r>
      <w:r>
        <w:rPr>
          <w:rFonts w:hint="eastAsia" w:ascii="新宋体" w:hAnsi="新宋体" w:eastAsia="新宋体" w:cs="新宋体"/>
          <w:b/>
          <w:bCs/>
          <w:color w:val="FF0000"/>
          <w:szCs w:val="21"/>
          <w:u w:val="single"/>
        </w:rPr>
        <w:t>分、且负偏离少于</w:t>
      </w:r>
      <w:r>
        <w:rPr>
          <w:rFonts w:hint="eastAsia" w:ascii="新宋体" w:hAnsi="新宋体" w:eastAsia="新宋体" w:cs="新宋体"/>
          <w:b/>
          <w:bCs/>
          <w:color w:val="FF0000"/>
          <w:szCs w:val="21"/>
          <w:u w:val="single"/>
          <w:lang w:eastAsia="zh-CN"/>
        </w:rPr>
        <w:t>参数的</w:t>
      </w:r>
      <w:r>
        <w:rPr>
          <w:rFonts w:hint="eastAsia" w:ascii="新宋体" w:hAnsi="新宋体" w:eastAsia="新宋体" w:cs="新宋体"/>
          <w:b/>
          <w:bCs/>
          <w:color w:val="FF0000"/>
          <w:szCs w:val="21"/>
          <w:u w:val="single"/>
        </w:rPr>
        <w:t>三分之一者作为技术入围投标人（如技术分大于等于</w:t>
      </w:r>
      <w:r>
        <w:rPr>
          <w:rFonts w:hint="eastAsia" w:ascii="新宋体" w:hAnsi="新宋体" w:eastAsia="新宋体" w:cs="新宋体"/>
          <w:b/>
          <w:bCs/>
          <w:color w:val="FF0000"/>
          <w:szCs w:val="21"/>
          <w:u w:val="single"/>
          <w:lang w:val="en-US" w:eastAsia="zh-CN"/>
        </w:rPr>
        <w:t>28</w:t>
      </w:r>
      <w:r>
        <w:rPr>
          <w:rFonts w:hint="eastAsia" w:ascii="新宋体" w:hAnsi="新宋体" w:eastAsia="新宋体" w:cs="新宋体"/>
          <w:b/>
          <w:bCs/>
          <w:color w:val="FF0000"/>
          <w:szCs w:val="21"/>
          <w:u w:val="single"/>
        </w:rPr>
        <w:t>分的供应商超过3家时，专家组可以决定，按照技术分从高到低取前几名入围单位，但不得少于3家），进入商务评审</w:t>
      </w:r>
      <w:r>
        <w:rPr>
          <w:rFonts w:hint="eastAsia" w:ascii="新宋体" w:hAnsi="新宋体" w:eastAsia="新宋体" w:cs="新宋体"/>
          <w:bCs/>
          <w:color w:val="FF0000"/>
          <w:szCs w:val="21"/>
        </w:rPr>
        <w:t>。</w:t>
      </w:r>
    </w:p>
    <w:p>
      <w:pPr>
        <w:rPr>
          <w:rFonts w:hint="eastAsia" w:ascii="新宋体" w:hAnsi="新宋体" w:eastAsia="新宋体" w:cs="新宋体"/>
          <w:color w:val="auto"/>
          <w:sz w:val="24"/>
          <w:szCs w:val="24"/>
        </w:rPr>
      </w:pPr>
    </w:p>
    <w:p>
      <w:pPr>
        <w:spacing w:line="360" w:lineRule="exact"/>
        <w:rPr>
          <w:rFonts w:hint="eastAsia" w:ascii="新宋体" w:hAnsi="新宋体" w:eastAsia="新宋体" w:cs="新宋体"/>
        </w:rPr>
      </w:pPr>
      <w:r>
        <w:rPr>
          <w:rFonts w:hint="eastAsia" w:ascii="新宋体" w:hAnsi="新宋体" w:eastAsia="新宋体" w:cs="新宋体"/>
        </w:rPr>
        <w:t>二）商务分0～60分</w:t>
      </w:r>
    </w:p>
    <w:p>
      <w:pPr>
        <w:spacing w:line="360" w:lineRule="exact"/>
        <w:ind w:firstLine="420"/>
        <w:rPr>
          <w:rFonts w:hint="eastAsia" w:ascii="新宋体" w:hAnsi="新宋体" w:eastAsia="新宋体" w:cs="新宋体"/>
        </w:rPr>
      </w:pPr>
      <w:r>
        <w:rPr>
          <w:rFonts w:hint="eastAsia" w:ascii="新宋体" w:hAnsi="新宋体" w:eastAsia="新宋体" w:cs="新宋体"/>
        </w:rPr>
        <w:t>谈判小组将分析商务总报价及各个分项报价是否合理、报价范围是否完整、有否重大错漏项、是否超过最高限价。如谈判小组一致认为最低投标报价或某些分项明显不合理，有降低质量、不能诚信履约的可能时，谈判小组有权通知投标方限期进行解释。如投标方未在规定期限内做出解释，或所作解释不合理，经谈判小组取得一致意见后，可确定该投标为无效标。</w:t>
      </w:r>
      <w:r>
        <w:rPr>
          <w:rFonts w:hint="eastAsia" w:ascii="新宋体" w:hAnsi="新宋体" w:eastAsia="新宋体" w:cs="新宋体"/>
          <w:b/>
          <w:bCs/>
        </w:rPr>
        <w:t>无效标和超过预算的投标报价不进行商务分的计算。</w:t>
      </w:r>
    </w:p>
    <w:p>
      <w:pPr>
        <w:pStyle w:val="6"/>
        <w:spacing w:line="360" w:lineRule="exact"/>
        <w:ind w:firstLineChars="200"/>
        <w:rPr>
          <w:rFonts w:ascii="新宋体" w:hAnsi="新宋体"/>
          <w:color w:val="FF0000"/>
          <w:sz w:val="21"/>
        </w:rPr>
      </w:pPr>
      <w:r>
        <w:rPr>
          <w:rFonts w:hint="eastAsia" w:ascii="新宋体" w:hAnsi="新宋体" w:eastAsia="新宋体" w:cs="新宋体"/>
        </w:rPr>
        <w:t xml:space="preserve"> </w:t>
      </w:r>
      <w:r>
        <w:rPr>
          <w:rFonts w:ascii="新宋体" w:hAnsi="新宋体"/>
          <w:b/>
          <w:color w:val="FF0000"/>
          <w:sz w:val="21"/>
        </w:rPr>
        <w:t>（1）、</w:t>
      </w:r>
      <w:r>
        <w:rPr>
          <w:rFonts w:ascii="新宋体" w:hAnsi="新宋体"/>
          <w:b/>
          <w:bCs/>
          <w:color w:val="FF0000"/>
          <w:sz w:val="21"/>
        </w:rPr>
        <w:t>审核非现金让利报价：谈判小组对</w:t>
      </w:r>
      <w:r>
        <w:rPr>
          <w:rFonts w:ascii="新宋体" w:hAnsi="新宋体"/>
          <w:color w:val="FF0000"/>
          <w:sz w:val="21"/>
        </w:rPr>
        <w:t>《</w:t>
      </w:r>
      <w:r>
        <w:rPr>
          <w:rFonts w:ascii="新宋体" w:hAnsi="新宋体"/>
          <w:b/>
          <w:color w:val="FF0000"/>
          <w:sz w:val="21"/>
        </w:rPr>
        <w:t>非现金</w:t>
      </w:r>
      <w:r>
        <w:rPr>
          <w:rFonts w:ascii="新宋体" w:hAnsi="新宋体"/>
          <w:color w:val="FF0000"/>
          <w:sz w:val="21"/>
        </w:rPr>
        <w:t>让利一览表》（直接现金让利者不用填报）有效性进行审核。</w:t>
      </w:r>
    </w:p>
    <w:p>
      <w:pPr>
        <w:pStyle w:val="6"/>
        <w:spacing w:line="360" w:lineRule="exact"/>
        <w:ind w:firstLine="422" w:firstLineChars="200"/>
        <w:rPr>
          <w:rFonts w:ascii="新宋体" w:hAnsi="新宋体"/>
          <w:b/>
          <w:bCs/>
          <w:color w:val="FF0000"/>
          <w:sz w:val="21"/>
        </w:rPr>
      </w:pPr>
      <w:r>
        <w:rPr>
          <w:rFonts w:ascii="新宋体" w:hAnsi="新宋体"/>
          <w:b/>
          <w:color w:val="FF0000"/>
          <w:sz w:val="21"/>
        </w:rPr>
        <w:t>确定非现金让利评审价:</w:t>
      </w:r>
      <w:r>
        <w:rPr>
          <w:rFonts w:ascii="新宋体" w:hAnsi="新宋体"/>
          <w:color w:val="FF0000"/>
          <w:sz w:val="21"/>
        </w:rPr>
        <w:t>由谈判小组各专家分别依据对相关产品和服务的市场了解，对各供应商让利情况进行评估、折算，形成专家评估价，并计算出算术平均值（元）（去掉一个最高价和一个最低价，在评委人数〉＝5人时使用，保留两位小数），此平均值为非现金让利评审价（向投标人公开）。</w:t>
      </w:r>
      <w:r>
        <w:rPr>
          <w:rFonts w:hint="eastAsia" w:ascii="新宋体" w:hAnsi="新宋体"/>
          <w:color w:val="0000FF"/>
          <w:sz w:val="21"/>
        </w:rPr>
        <w:t>其中，以高端设备投标让利的，技术得分未达到35分者不予认定非现金让利价值；达到35分者，以该高端设备的市场价减去本预算价为投标人的非现金让利报价，由专家对该实际让利报价予以评审认定（计算方法同前）。</w:t>
      </w:r>
      <w:r>
        <w:rPr>
          <w:rFonts w:ascii="新宋体" w:hAnsi="新宋体"/>
          <w:b/>
          <w:color w:val="FF0000"/>
          <w:sz w:val="21"/>
        </w:rPr>
        <w:t>直接现金让利的不用此环节。</w:t>
      </w:r>
    </w:p>
    <w:p>
      <w:pPr>
        <w:pStyle w:val="6"/>
        <w:spacing w:line="360" w:lineRule="exact"/>
        <w:ind w:firstLine="422" w:firstLineChars="200"/>
        <w:rPr>
          <w:rFonts w:ascii="新宋体" w:hAnsi="新宋体"/>
          <w:color w:val="FF0000"/>
          <w:sz w:val="21"/>
        </w:rPr>
      </w:pPr>
      <w:r>
        <w:rPr>
          <w:rFonts w:ascii="新宋体" w:hAnsi="新宋体"/>
          <w:b/>
          <w:bCs/>
          <w:color w:val="FF0000"/>
          <w:sz w:val="21"/>
        </w:rPr>
        <w:t>（2）、</w:t>
      </w:r>
      <w:r>
        <w:rPr>
          <w:rFonts w:ascii="新宋体" w:hAnsi="新宋体"/>
          <w:b/>
          <w:color w:val="FF0000"/>
          <w:sz w:val="21"/>
        </w:rPr>
        <w:t>审核商务报价</w:t>
      </w:r>
      <w:r>
        <w:rPr>
          <w:rFonts w:ascii="新宋体" w:hAnsi="新宋体"/>
          <w:color w:val="FF0000"/>
          <w:sz w:val="21"/>
        </w:rPr>
        <w:t>：谈判小组评审《开标一览表》的有效性。对效的商务</w:t>
      </w:r>
      <w:r>
        <w:rPr>
          <w:rFonts w:ascii="新宋体" w:hAnsi="新宋体"/>
          <w:b/>
          <w:bCs/>
          <w:color w:val="FF0000"/>
          <w:sz w:val="21"/>
        </w:rPr>
        <w:t>报价进行商务分的计算。</w:t>
      </w:r>
    </w:p>
    <w:p>
      <w:pPr>
        <w:pStyle w:val="6"/>
        <w:spacing w:line="360" w:lineRule="exact"/>
        <w:ind w:firstLine="422" w:firstLineChars="200"/>
        <w:rPr>
          <w:rFonts w:ascii="新宋体" w:hAnsi="新宋体"/>
          <w:color w:val="FF0000"/>
          <w:sz w:val="21"/>
        </w:rPr>
      </w:pPr>
      <w:r>
        <w:rPr>
          <w:rFonts w:ascii="新宋体" w:hAnsi="新宋体"/>
          <w:b/>
          <w:color w:val="FF0000"/>
          <w:sz w:val="21"/>
        </w:rPr>
        <w:t>（3）、计算有效商务报价</w:t>
      </w:r>
      <w:r>
        <w:rPr>
          <w:rFonts w:ascii="新宋体" w:hAnsi="新宋体"/>
          <w:color w:val="FF0000"/>
          <w:sz w:val="21"/>
        </w:rPr>
        <w:t>：有效商务报价=商务报价-非现金让利评审价</w:t>
      </w:r>
    </w:p>
    <w:p>
      <w:pPr>
        <w:pStyle w:val="6"/>
        <w:spacing w:line="360" w:lineRule="exact"/>
        <w:ind w:firstLine="422" w:firstLineChars="200"/>
        <w:rPr>
          <w:rFonts w:ascii="新宋体" w:hAnsi="新宋体"/>
          <w:color w:val="FF0000"/>
          <w:sz w:val="21"/>
        </w:rPr>
      </w:pPr>
      <w:r>
        <w:rPr>
          <w:rFonts w:ascii="新宋体" w:hAnsi="新宋体"/>
          <w:b/>
          <w:color w:val="FF0000"/>
          <w:sz w:val="21"/>
        </w:rPr>
        <w:t>（4）主要设备（含非现金让利）商务分</w:t>
      </w:r>
      <w:r>
        <w:rPr>
          <w:rFonts w:ascii="新宋体" w:hAnsi="新宋体"/>
          <w:b/>
          <w:bCs/>
          <w:color w:val="FF0000"/>
          <w:sz w:val="21"/>
        </w:rPr>
        <w:t>计算方法为：</w:t>
      </w:r>
    </w:p>
    <w:p>
      <w:pPr>
        <w:adjustRightInd w:val="0"/>
        <w:spacing w:line="360" w:lineRule="exact"/>
        <w:ind w:left="630" w:leftChars="300" w:firstLine="420"/>
        <w:rPr>
          <w:rFonts w:hint="eastAsia" w:ascii="新宋体" w:hAnsi="新宋体" w:eastAsia="新宋体"/>
          <w:color w:val="FF0000"/>
          <w:szCs w:val="21"/>
        </w:rPr>
      </w:pPr>
      <w:r>
        <w:rPr>
          <w:rFonts w:hint="eastAsia" w:ascii="新宋体" w:hAnsi="新宋体" w:eastAsia="新宋体"/>
          <w:color w:val="FF0000"/>
        </w:rPr>
        <w:t>a、评定评标基准价：以</w:t>
      </w:r>
      <w:r>
        <w:rPr>
          <w:rFonts w:hint="eastAsia" w:ascii="新宋体" w:hAnsi="新宋体" w:eastAsia="新宋体"/>
          <w:color w:val="FF0000"/>
          <w:szCs w:val="21"/>
        </w:rPr>
        <w:t>满足招标文件要求的最低</w:t>
      </w:r>
      <w:r>
        <w:rPr>
          <w:rFonts w:ascii="新宋体" w:hAnsi="新宋体"/>
          <w:b/>
          <w:color w:val="FF0000"/>
        </w:rPr>
        <w:t>有效商务报价</w:t>
      </w:r>
      <w:r>
        <w:rPr>
          <w:rFonts w:hint="eastAsia" w:ascii="新宋体" w:hAnsi="新宋体" w:eastAsia="新宋体"/>
          <w:color w:val="FF0000"/>
          <w:szCs w:val="21"/>
        </w:rPr>
        <w:t>为评标基准价；</w:t>
      </w:r>
    </w:p>
    <w:p>
      <w:pPr>
        <w:adjustRightInd w:val="0"/>
        <w:spacing w:line="360" w:lineRule="exact"/>
        <w:ind w:left="630" w:leftChars="300" w:firstLine="424" w:firstLineChars="202"/>
        <w:rPr>
          <w:rFonts w:hint="eastAsia" w:ascii="新宋体" w:hAnsi="新宋体" w:eastAsia="新宋体"/>
          <w:color w:val="FF0000"/>
          <w:szCs w:val="21"/>
        </w:rPr>
      </w:pPr>
      <w:r>
        <w:rPr>
          <w:rFonts w:hint="eastAsia" w:ascii="新宋体" w:hAnsi="新宋体" w:eastAsia="新宋体"/>
          <w:color w:val="FF0000"/>
        </w:rPr>
        <w:t>b、</w:t>
      </w:r>
      <w:r>
        <w:rPr>
          <w:rFonts w:hint="eastAsia" w:ascii="新宋体" w:hAnsi="新宋体" w:eastAsia="新宋体"/>
          <w:color w:val="FF0000"/>
          <w:szCs w:val="21"/>
        </w:rPr>
        <w:t>投标人的商务报价分统一按照下列公式计算：</w:t>
      </w:r>
    </w:p>
    <w:p>
      <w:pPr>
        <w:adjustRightInd w:val="0"/>
        <w:spacing w:line="360" w:lineRule="exact"/>
        <w:ind w:left="1680" w:leftChars="800"/>
        <w:rPr>
          <w:rFonts w:hint="eastAsia" w:ascii="新宋体" w:hAnsi="新宋体" w:eastAsia="新宋体"/>
          <w:color w:val="FF0000"/>
          <w:szCs w:val="21"/>
        </w:rPr>
      </w:pPr>
    </w:p>
    <w:p>
      <w:pPr>
        <w:adjustRightInd w:val="0"/>
        <w:spacing w:line="360" w:lineRule="exact"/>
        <w:ind w:left="1680" w:leftChars="800"/>
        <w:rPr>
          <w:rFonts w:hint="eastAsia" w:ascii="新宋体" w:hAnsi="新宋体" w:eastAsia="新宋体"/>
          <w:b/>
          <w:bCs/>
          <w:color w:val="FF0000"/>
          <w:szCs w:val="21"/>
        </w:rPr>
      </w:pPr>
      <w:r>
        <w:rPr>
          <w:rFonts w:hint="eastAsia" w:ascii="新宋体" w:hAnsi="新宋体" w:eastAsia="新宋体"/>
          <w:b/>
          <w:bCs/>
          <w:color w:val="FF0000"/>
          <w:szCs w:val="21"/>
        </w:rPr>
        <w:t>商务报价得分 =  (评标基准价／</w:t>
      </w:r>
      <w:r>
        <w:rPr>
          <w:rFonts w:ascii="新宋体" w:hAnsi="新宋体"/>
          <w:b/>
          <w:bCs/>
          <w:color w:val="FF0000"/>
        </w:rPr>
        <w:t>有效商务报价</w:t>
      </w:r>
      <w:r>
        <w:rPr>
          <w:rFonts w:hint="eastAsia" w:ascii="新宋体" w:hAnsi="新宋体" w:eastAsia="新宋体"/>
          <w:b/>
          <w:bCs/>
          <w:color w:val="FF0000"/>
          <w:szCs w:val="21"/>
        </w:rPr>
        <w:t>)×60%×100</w:t>
      </w:r>
    </w:p>
    <w:p>
      <w:pPr>
        <w:adjustRightInd w:val="0"/>
        <w:spacing w:line="360" w:lineRule="exact"/>
        <w:ind w:left="1680" w:leftChars="800"/>
        <w:rPr>
          <w:rFonts w:hint="eastAsia" w:ascii="新宋体" w:hAnsi="新宋体" w:eastAsia="新宋体"/>
          <w:b/>
          <w:bCs/>
          <w:color w:val="FF0000"/>
          <w:szCs w:val="21"/>
        </w:rPr>
      </w:pPr>
      <w:r>
        <w:rPr>
          <w:rFonts w:hint="eastAsia" w:ascii="新宋体" w:hAnsi="新宋体" w:eastAsia="新宋体"/>
          <w:b/>
          <w:bCs/>
          <w:color w:val="FF0000"/>
          <w:szCs w:val="21"/>
        </w:rPr>
        <w:t>计算结果保留小数两位（四舍五入）。</w:t>
      </w:r>
    </w:p>
    <w:p>
      <w:pPr>
        <w:adjustRightInd w:val="0"/>
        <w:spacing w:line="360" w:lineRule="exact"/>
        <w:rPr>
          <w:rFonts w:hint="eastAsia" w:ascii="新宋体" w:hAnsi="新宋体" w:eastAsia="新宋体" w:cs="新宋体"/>
          <w:color w:val="FF0000"/>
          <w:szCs w:val="21"/>
        </w:rPr>
      </w:pPr>
      <w:r>
        <w:rPr>
          <w:rFonts w:hint="eastAsia" w:ascii="新宋体" w:hAnsi="新宋体" w:eastAsia="新宋体" w:cs="新宋体"/>
          <w:color w:val="FF0000"/>
          <w:szCs w:val="21"/>
        </w:rPr>
        <w:t>（三）计算总得分：技术标评审得分＋商务标评审得分＝投标人总得分</w:t>
      </w:r>
    </w:p>
    <w:p>
      <w:pPr>
        <w:pStyle w:val="6"/>
        <w:spacing w:line="360" w:lineRule="exact"/>
        <w:ind w:firstLine="420" w:firstLineChars="200"/>
        <w:rPr>
          <w:rFonts w:hint="eastAsia" w:ascii="新宋体" w:hAnsi="新宋体" w:eastAsia="新宋体" w:cs="新宋体"/>
          <w:color w:val="FF0000"/>
          <w:sz w:val="21"/>
          <w:szCs w:val="21"/>
        </w:rPr>
      </w:pPr>
    </w:p>
    <w:p>
      <w:pPr>
        <w:widowControl/>
        <w:jc w:val="left"/>
        <w:rPr>
          <w:rFonts w:hint="eastAsia"/>
        </w:rPr>
      </w:pPr>
    </w:p>
    <w:p>
      <w:pPr>
        <w:pStyle w:val="6"/>
        <w:spacing w:line="360" w:lineRule="exact"/>
        <w:ind w:firstLine="422"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b/>
          <w:sz w:val="24"/>
        </w:rPr>
        <w:t>四、竞争性谈判：结合技术标评审综合得分，综合得分高者入围，原则上综合评分最低者予以淘汰。谈判小组根据情况可开展继续商务竞价，</w:t>
      </w:r>
      <w:r>
        <w:rPr>
          <w:rFonts w:ascii="新宋体" w:hAnsi="新宋体" w:eastAsia="新宋体"/>
          <w:b/>
          <w:sz w:val="24"/>
        </w:rPr>
        <w:t>最终综合评分最高者</w:t>
      </w:r>
      <w:r>
        <w:rPr>
          <w:rFonts w:hint="eastAsia" w:ascii="新宋体" w:hAnsi="新宋体" w:eastAsia="新宋体"/>
          <w:b/>
          <w:sz w:val="24"/>
        </w:rPr>
        <w:t>确定为拟中标单位</w:t>
      </w:r>
      <w:r>
        <w:rPr>
          <w:rFonts w:hint="eastAsia" w:ascii="新宋体" w:hAnsi="新宋体" w:eastAsia="新宋体" w:cs="新宋体"/>
          <w:b/>
          <w:sz w:val="24"/>
        </w:rPr>
        <w:t>。</w:t>
      </w:r>
    </w:p>
    <w:p>
      <w:pPr>
        <w:spacing w:line="360" w:lineRule="exact"/>
        <w:jc w:val="both"/>
        <w:rPr>
          <w:rFonts w:hint="eastAsia" w:ascii="新宋体" w:hAnsi="新宋体" w:eastAsia="新宋体" w:cs="新宋体"/>
          <w:b/>
          <w:bCs/>
          <w:color w:val="auto"/>
          <w:sz w:val="36"/>
          <w:highlight w:val="none"/>
          <w:lang w:val="en-US" w:eastAsia="zh-CN"/>
        </w:rPr>
      </w:pPr>
      <w:r>
        <w:rPr>
          <w:rFonts w:hint="eastAsia" w:ascii="新宋体" w:hAnsi="新宋体" w:eastAsia="新宋体" w:cs="新宋体"/>
          <w:b/>
          <w:bCs/>
          <w:color w:val="auto"/>
          <w:sz w:val="36"/>
          <w:highlight w:val="none"/>
          <w:lang w:val="en-US" w:eastAsia="zh-CN"/>
        </w:rPr>
        <w:t xml:space="preserve">              </w:t>
      </w: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r>
        <w:rPr>
          <w:rFonts w:hint="eastAsia" w:ascii="新宋体" w:hAnsi="新宋体" w:eastAsia="新宋体" w:cs="新宋体"/>
          <w:b/>
          <w:bCs/>
          <w:color w:val="auto"/>
          <w:sz w:val="36"/>
          <w:highlight w:val="none"/>
          <w:lang w:val="en-US" w:eastAsia="zh-CN"/>
        </w:rPr>
        <w:t xml:space="preserve">             </w:t>
      </w: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highlight w:val="none"/>
          <w:lang w:val="en-US" w:eastAsia="zh-CN"/>
        </w:rPr>
      </w:pPr>
    </w:p>
    <w:p>
      <w:pPr>
        <w:spacing w:line="360" w:lineRule="exact"/>
        <w:jc w:val="both"/>
        <w:rPr>
          <w:rFonts w:hint="eastAsia" w:ascii="新宋体" w:hAnsi="新宋体" w:eastAsia="新宋体" w:cs="新宋体"/>
          <w:b/>
          <w:bCs/>
          <w:color w:val="auto"/>
          <w:sz w:val="36"/>
          <w:szCs w:val="28"/>
          <w:highlight w:val="none"/>
        </w:rPr>
      </w:pPr>
      <w:r>
        <w:rPr>
          <w:rFonts w:hint="eastAsia" w:ascii="新宋体" w:hAnsi="新宋体" w:eastAsia="新宋体" w:cs="新宋体"/>
          <w:b/>
          <w:bCs/>
          <w:color w:val="auto"/>
          <w:sz w:val="36"/>
          <w:highlight w:val="none"/>
          <w:lang w:val="en-US" w:eastAsia="zh-CN"/>
        </w:rPr>
        <w:t xml:space="preserve">               </w:t>
      </w:r>
      <w:r>
        <w:rPr>
          <w:rFonts w:hint="eastAsia" w:ascii="新宋体" w:hAnsi="新宋体" w:eastAsia="新宋体" w:cs="新宋体"/>
          <w:b/>
          <w:bCs/>
          <w:color w:val="auto"/>
          <w:sz w:val="36"/>
          <w:highlight w:val="none"/>
        </w:rPr>
        <w:t>第七章、</w:t>
      </w:r>
      <w:r>
        <w:rPr>
          <w:rFonts w:hint="eastAsia" w:ascii="新宋体" w:hAnsi="新宋体" w:eastAsia="新宋体" w:cs="新宋体"/>
          <w:b/>
          <w:bCs/>
          <w:color w:val="auto"/>
          <w:sz w:val="36"/>
          <w:szCs w:val="28"/>
          <w:highlight w:val="none"/>
        </w:rPr>
        <w:t>投标文件格式</w:t>
      </w:r>
    </w:p>
    <w:p>
      <w:pPr>
        <w:tabs>
          <w:tab w:val="left" w:pos="1155"/>
        </w:tabs>
        <w:spacing w:line="320" w:lineRule="exact"/>
        <w:ind w:left="-2" w:leftChars="-1" w:firstLine="1075" w:firstLineChars="512"/>
        <w:rPr>
          <w:rFonts w:hint="eastAsia" w:ascii="新宋体" w:hAnsi="新宋体" w:eastAsia="新宋体" w:cs="新宋体"/>
          <w:color w:val="000000"/>
          <w:szCs w:val="21"/>
        </w:rPr>
      </w:pPr>
    </w:p>
    <w:p>
      <w:pPr>
        <w:tabs>
          <w:tab w:val="left" w:pos="1155"/>
        </w:tabs>
        <w:spacing w:line="360" w:lineRule="auto"/>
        <w:ind w:left="-2" w:leftChars="-1" w:firstLine="1229" w:firstLineChars="512"/>
        <w:rPr>
          <w:rFonts w:hint="eastAsia" w:ascii="新宋体" w:hAnsi="新宋体" w:eastAsia="新宋体" w:cs="新宋体"/>
          <w:color w:val="000000"/>
          <w:sz w:val="24"/>
        </w:rPr>
      </w:pPr>
      <w:r>
        <w:rPr>
          <w:rFonts w:hint="eastAsia" w:ascii="新宋体" w:hAnsi="新宋体" w:eastAsia="新宋体" w:cs="新宋体"/>
          <w:color w:val="000000"/>
          <w:sz w:val="24"/>
        </w:rPr>
        <w:t>1) 承诺书（附件1）；</w:t>
      </w:r>
    </w:p>
    <w:p>
      <w:pPr>
        <w:tabs>
          <w:tab w:val="left" w:pos="1155"/>
        </w:tabs>
        <w:spacing w:line="360" w:lineRule="auto"/>
        <w:ind w:left="-2" w:leftChars="-1" w:firstLine="1229" w:firstLineChars="512"/>
        <w:rPr>
          <w:rFonts w:hint="eastAsia" w:ascii="新宋体" w:hAnsi="新宋体" w:eastAsia="新宋体" w:cs="新宋体"/>
          <w:color w:val="000000"/>
          <w:sz w:val="24"/>
        </w:rPr>
      </w:pPr>
      <w:r>
        <w:rPr>
          <w:rFonts w:hint="eastAsia" w:ascii="新宋体" w:hAnsi="新宋体" w:eastAsia="新宋体" w:cs="新宋体"/>
          <w:color w:val="000000"/>
          <w:sz w:val="24"/>
        </w:rPr>
        <w:t>2) 售后服务承诺书（附件2）；</w:t>
      </w:r>
    </w:p>
    <w:p>
      <w:pPr>
        <w:tabs>
          <w:tab w:val="left" w:pos="1155"/>
        </w:tabs>
        <w:spacing w:line="360" w:lineRule="auto"/>
        <w:ind w:left="-2" w:leftChars="-1" w:firstLine="1229" w:firstLineChars="512"/>
        <w:rPr>
          <w:rFonts w:hint="eastAsia" w:ascii="新宋体" w:hAnsi="新宋体" w:eastAsia="新宋体" w:cs="新宋体"/>
          <w:color w:val="000000"/>
          <w:sz w:val="24"/>
        </w:rPr>
      </w:pPr>
      <w:r>
        <w:rPr>
          <w:rFonts w:hint="eastAsia" w:ascii="新宋体" w:hAnsi="新宋体" w:eastAsia="新宋体" w:cs="新宋体"/>
          <w:color w:val="000000"/>
          <w:sz w:val="24"/>
        </w:rPr>
        <w:t>3) 产品质量承诺书（附件3）；</w:t>
      </w:r>
    </w:p>
    <w:p>
      <w:pPr>
        <w:tabs>
          <w:tab w:val="left" w:pos="1155"/>
        </w:tabs>
        <w:spacing w:line="360" w:lineRule="auto"/>
        <w:ind w:left="-2" w:leftChars="-1" w:firstLine="1229" w:firstLineChars="512"/>
        <w:rPr>
          <w:rFonts w:hint="eastAsia" w:ascii="新宋体" w:hAnsi="新宋体" w:eastAsia="新宋体" w:cs="新宋体"/>
          <w:color w:val="000000"/>
          <w:sz w:val="24"/>
        </w:rPr>
      </w:pPr>
      <w:r>
        <w:rPr>
          <w:rFonts w:hint="eastAsia" w:ascii="新宋体" w:hAnsi="新宋体" w:eastAsia="新宋体" w:cs="新宋体"/>
          <w:color w:val="000000"/>
          <w:sz w:val="24"/>
        </w:rPr>
        <w:t>4) 规范偏离表（附件4）；</w:t>
      </w:r>
    </w:p>
    <w:p>
      <w:pPr>
        <w:tabs>
          <w:tab w:val="left" w:pos="1155"/>
        </w:tabs>
        <w:spacing w:line="360" w:lineRule="auto"/>
        <w:ind w:left="-2" w:leftChars="-1" w:firstLine="1229" w:firstLineChars="512"/>
        <w:rPr>
          <w:rFonts w:hint="eastAsia" w:ascii="新宋体" w:hAnsi="新宋体" w:eastAsia="新宋体" w:cs="新宋体"/>
          <w:color w:val="000000"/>
          <w:sz w:val="24"/>
        </w:rPr>
      </w:pPr>
      <w:r>
        <w:rPr>
          <w:rFonts w:hint="eastAsia" w:ascii="新宋体" w:hAnsi="新宋体" w:eastAsia="新宋体" w:cs="新宋体"/>
          <w:color w:val="000000"/>
          <w:sz w:val="24"/>
        </w:rPr>
        <w:t>5) 货物简要说明一览表（附件5）；</w:t>
      </w:r>
    </w:p>
    <w:p>
      <w:pPr>
        <w:tabs>
          <w:tab w:val="left" w:pos="1155"/>
        </w:tabs>
        <w:spacing w:line="360" w:lineRule="auto"/>
        <w:ind w:left="-2" w:leftChars="-1" w:firstLine="1229" w:firstLineChars="512"/>
        <w:rPr>
          <w:rFonts w:hint="eastAsia" w:ascii="新宋体" w:hAnsi="新宋体" w:eastAsia="新宋体" w:cs="新宋体"/>
          <w:color w:val="000000"/>
          <w:sz w:val="24"/>
        </w:rPr>
      </w:pPr>
      <w:r>
        <w:rPr>
          <w:rFonts w:hint="eastAsia" w:ascii="新宋体" w:hAnsi="新宋体" w:eastAsia="新宋体" w:cs="新宋体"/>
          <w:color w:val="000000"/>
          <w:sz w:val="24"/>
        </w:rPr>
        <w:t>6) 法定代表人授权书（附件6）；</w:t>
      </w:r>
    </w:p>
    <w:p>
      <w:pPr>
        <w:tabs>
          <w:tab w:val="left" w:pos="1155"/>
        </w:tabs>
        <w:spacing w:line="360" w:lineRule="auto"/>
        <w:ind w:left="-2" w:leftChars="-1" w:firstLine="1229" w:firstLineChars="512"/>
        <w:rPr>
          <w:rFonts w:hint="eastAsia" w:ascii="新宋体" w:hAnsi="新宋体" w:eastAsia="新宋体" w:cs="新宋体"/>
          <w:color w:val="000000"/>
          <w:sz w:val="24"/>
        </w:rPr>
      </w:pPr>
      <w:r>
        <w:rPr>
          <w:rFonts w:hint="eastAsia" w:ascii="新宋体" w:hAnsi="新宋体" w:eastAsia="新宋体" w:cs="新宋体"/>
          <w:color w:val="000000"/>
          <w:sz w:val="24"/>
        </w:rPr>
        <w:t>7) 开标一览表 (附件7)；</w:t>
      </w:r>
    </w:p>
    <w:p>
      <w:pPr>
        <w:tabs>
          <w:tab w:val="left" w:pos="1155"/>
        </w:tabs>
        <w:spacing w:line="360" w:lineRule="auto"/>
        <w:ind w:left="-2" w:leftChars="-1" w:firstLine="1229" w:firstLineChars="512"/>
        <w:rPr>
          <w:rFonts w:hint="eastAsia" w:ascii="新宋体" w:hAnsi="新宋体" w:eastAsia="新宋体"/>
          <w:color w:val="FF0000"/>
          <w:sz w:val="24"/>
        </w:rPr>
      </w:pPr>
      <w:r>
        <w:rPr>
          <w:rFonts w:hint="eastAsia" w:ascii="新宋体" w:hAnsi="新宋体" w:eastAsia="新宋体"/>
          <w:color w:val="FF0000"/>
          <w:sz w:val="24"/>
        </w:rPr>
        <w:t>8）非现金让利一览表（附件8）；</w:t>
      </w:r>
    </w:p>
    <w:p>
      <w:pPr>
        <w:tabs>
          <w:tab w:val="left" w:pos="1155"/>
        </w:tabs>
        <w:spacing w:line="360" w:lineRule="auto"/>
        <w:ind w:left="-2" w:leftChars="-1" w:firstLine="1229" w:firstLineChars="512"/>
        <w:rPr>
          <w:rFonts w:hint="eastAsia" w:ascii="新宋体" w:hAnsi="新宋体" w:eastAsia="新宋体" w:cs="新宋体"/>
          <w:color w:val="FF0000"/>
          <w:sz w:val="24"/>
        </w:rPr>
      </w:pPr>
    </w:p>
    <w:p>
      <w:pPr>
        <w:tabs>
          <w:tab w:val="left" w:pos="1155"/>
        </w:tabs>
        <w:spacing w:line="360" w:lineRule="auto"/>
        <w:rPr>
          <w:rFonts w:hint="eastAsia" w:ascii="新宋体" w:hAnsi="新宋体" w:eastAsia="新宋体" w:cs="新宋体"/>
          <w:color w:val="FF0000"/>
          <w:sz w:val="24"/>
        </w:rPr>
      </w:pPr>
    </w:p>
    <w:p>
      <w:pPr>
        <w:pStyle w:val="5"/>
        <w:spacing w:after="312" w:afterLines="100"/>
        <w:ind w:firstLine="720" w:firstLineChars="300"/>
        <w:rPr>
          <w:rFonts w:hint="eastAsia" w:ascii="新宋体" w:hAnsi="新宋体" w:eastAsia="新宋体" w:cs="新宋体"/>
          <w:color w:val="000000"/>
          <w:sz w:val="24"/>
        </w:rPr>
      </w:pPr>
    </w:p>
    <w:p>
      <w:pPr>
        <w:pStyle w:val="5"/>
        <w:spacing w:after="312" w:afterLines="100"/>
        <w:ind w:firstLine="723" w:firstLineChars="300"/>
        <w:rPr>
          <w:rFonts w:hint="eastAsia" w:ascii="新宋体" w:hAnsi="新宋体" w:eastAsia="新宋体" w:cs="新宋体"/>
          <w:b/>
          <w:color w:val="000000"/>
          <w:sz w:val="24"/>
        </w:rPr>
      </w:pPr>
    </w:p>
    <w:p>
      <w:pPr>
        <w:pStyle w:val="5"/>
        <w:spacing w:after="312" w:afterLines="100"/>
        <w:ind w:firstLine="723" w:firstLineChars="300"/>
        <w:rPr>
          <w:rFonts w:hint="eastAsia" w:ascii="新宋体" w:hAnsi="新宋体" w:eastAsia="新宋体" w:cs="新宋体"/>
          <w:b/>
          <w:color w:val="000000"/>
          <w:sz w:val="24"/>
        </w:rPr>
      </w:pPr>
      <w:r>
        <w:rPr>
          <w:rFonts w:hint="eastAsia" w:ascii="新宋体" w:hAnsi="新宋体" w:eastAsia="新宋体" w:cs="新宋体"/>
          <w:b/>
          <w:color w:val="000000"/>
          <w:sz w:val="24"/>
        </w:rPr>
        <w:t>以上提供了部分表格的投标文件格式,具体的投标文件组成见第二章第11条的投标文件的组成。</w:t>
      </w:r>
    </w:p>
    <w:p>
      <w:pPr>
        <w:pStyle w:val="5"/>
        <w:spacing w:line="360" w:lineRule="auto"/>
        <w:rPr>
          <w:rFonts w:hint="eastAsia" w:ascii="新宋体" w:hAnsi="新宋体" w:eastAsia="新宋体" w:cs="新宋体"/>
          <w:bCs/>
          <w:sz w:val="30"/>
          <w:szCs w:val="30"/>
        </w:rPr>
      </w:pPr>
    </w:p>
    <w:p>
      <w:pPr>
        <w:pStyle w:val="5"/>
        <w:spacing w:line="360" w:lineRule="auto"/>
        <w:rPr>
          <w:rFonts w:hint="eastAsia" w:ascii="新宋体" w:hAnsi="新宋体" w:eastAsia="新宋体" w:cs="新宋体"/>
          <w:bCs/>
          <w:sz w:val="30"/>
          <w:szCs w:val="30"/>
        </w:rPr>
      </w:pPr>
    </w:p>
    <w:p>
      <w:pPr>
        <w:pStyle w:val="5"/>
        <w:spacing w:line="360" w:lineRule="auto"/>
        <w:rPr>
          <w:rFonts w:hint="eastAsia" w:ascii="新宋体" w:hAnsi="新宋体" w:eastAsia="新宋体" w:cs="新宋体"/>
          <w:bCs/>
          <w:sz w:val="30"/>
          <w:szCs w:val="30"/>
        </w:rPr>
      </w:pPr>
    </w:p>
    <w:p>
      <w:pPr>
        <w:pStyle w:val="5"/>
        <w:spacing w:line="360" w:lineRule="auto"/>
        <w:rPr>
          <w:rFonts w:hint="eastAsia" w:ascii="新宋体" w:hAnsi="新宋体" w:eastAsia="新宋体" w:cs="新宋体"/>
          <w:bCs/>
          <w:sz w:val="30"/>
          <w:szCs w:val="30"/>
        </w:rPr>
      </w:pPr>
    </w:p>
    <w:p>
      <w:pPr>
        <w:pStyle w:val="5"/>
        <w:spacing w:line="360" w:lineRule="auto"/>
        <w:rPr>
          <w:rFonts w:hint="eastAsia" w:ascii="新宋体" w:hAnsi="新宋体" w:eastAsia="新宋体" w:cs="新宋体"/>
          <w:bCs/>
          <w:sz w:val="30"/>
          <w:szCs w:val="30"/>
        </w:rPr>
      </w:pPr>
      <w:r>
        <w:rPr>
          <w:rFonts w:hint="eastAsia" w:ascii="新宋体" w:hAnsi="新宋体" w:eastAsia="新宋体" w:cs="新宋体"/>
          <w:bCs/>
          <w:sz w:val="30"/>
          <w:szCs w:val="30"/>
        </w:rPr>
        <w:br w:type="page"/>
      </w:r>
      <w:r>
        <w:rPr>
          <w:rFonts w:hint="eastAsia" w:ascii="新宋体" w:hAnsi="新宋体" w:eastAsia="新宋体" w:cs="新宋体"/>
          <w:bCs/>
          <w:sz w:val="30"/>
          <w:szCs w:val="30"/>
        </w:rPr>
        <w:t>附件1：</w:t>
      </w:r>
    </w:p>
    <w:p>
      <w:pPr>
        <w:spacing w:line="360" w:lineRule="auto"/>
        <w:jc w:val="center"/>
        <w:rPr>
          <w:rFonts w:hint="eastAsia" w:ascii="新宋体" w:hAnsi="新宋体" w:eastAsia="新宋体" w:cs="新宋体"/>
          <w:b/>
          <w:bCs/>
          <w:color w:val="000000"/>
          <w:sz w:val="44"/>
          <w:szCs w:val="44"/>
        </w:rPr>
      </w:pPr>
      <w:r>
        <w:rPr>
          <w:rFonts w:hint="eastAsia" w:ascii="新宋体" w:hAnsi="新宋体" w:eastAsia="新宋体" w:cs="新宋体"/>
          <w:b/>
          <w:bCs/>
          <w:color w:val="000000"/>
          <w:sz w:val="44"/>
          <w:szCs w:val="44"/>
        </w:rPr>
        <w:t>承 诺 书</w:t>
      </w:r>
    </w:p>
    <w:p>
      <w:pPr>
        <w:pStyle w:val="5"/>
        <w:spacing w:line="360" w:lineRule="exact"/>
        <w:rPr>
          <w:rFonts w:hint="eastAsia" w:ascii="新宋体" w:hAnsi="新宋体" w:eastAsia="新宋体" w:cs="新宋体"/>
          <w:szCs w:val="21"/>
          <w:u w:val="single"/>
        </w:rPr>
      </w:pPr>
      <w:r>
        <w:rPr>
          <w:rFonts w:hint="eastAsia" w:ascii="新宋体" w:hAnsi="新宋体" w:eastAsia="新宋体" w:cs="新宋体"/>
          <w:szCs w:val="21"/>
        </w:rPr>
        <w:t>致：</w:t>
      </w:r>
      <w:r>
        <w:rPr>
          <w:rFonts w:hint="eastAsia" w:ascii="新宋体" w:hAnsi="新宋体" w:eastAsia="新宋体" w:cs="新宋体"/>
          <w:color w:val="000000"/>
          <w:szCs w:val="21"/>
        </w:rPr>
        <w:t>卫生事务管理服务中心</w:t>
      </w:r>
    </w:p>
    <w:p>
      <w:pPr>
        <w:tabs>
          <w:tab w:val="left" w:pos="8820"/>
        </w:tabs>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1、我单位已认真</w:t>
      </w:r>
      <w:r>
        <w:rPr>
          <w:rFonts w:hint="eastAsia" w:ascii="新宋体" w:hAnsi="新宋体" w:eastAsia="新宋体" w:cs="新宋体"/>
          <w:color w:val="auto"/>
          <w:szCs w:val="21"/>
        </w:rPr>
        <w:t>阅读了</w:t>
      </w:r>
      <w:r>
        <w:rPr>
          <w:rFonts w:hint="eastAsia" w:ascii="新宋体" w:hAnsi="新宋体" w:eastAsia="新宋体" w:cs="新宋体"/>
          <w:color w:val="auto"/>
          <w:szCs w:val="21"/>
          <w:u w:val="single"/>
        </w:rPr>
        <w:t>义乌市卫计委医疗设备采购项目(招标编号</w:t>
      </w:r>
      <w:r>
        <w:rPr>
          <w:rFonts w:hint="eastAsia" w:ascii="新宋体" w:hAnsi="新宋体" w:eastAsia="新宋体" w:cs="新宋体"/>
          <w:color w:val="auto"/>
          <w:sz w:val="21"/>
          <w:szCs w:val="21"/>
          <w:u w:val="single"/>
        </w:rPr>
        <w:t>：</w:t>
      </w:r>
      <w:r>
        <w:rPr>
          <w:rFonts w:hint="eastAsia" w:ascii="新宋体" w:hAnsi="新宋体" w:eastAsia="新宋体" w:cs="新宋体"/>
          <w:b w:val="0"/>
          <w:bCs w:val="0"/>
          <w:sz w:val="21"/>
          <w:szCs w:val="21"/>
          <w:u w:val="single"/>
        </w:rPr>
        <w:t>YWWJW2015</w:t>
      </w:r>
      <w:r>
        <w:rPr>
          <w:rFonts w:hint="eastAsia" w:ascii="新宋体" w:hAnsi="新宋体" w:eastAsia="新宋体" w:cs="新宋体"/>
          <w:b w:val="0"/>
          <w:bCs w:val="0"/>
          <w:sz w:val="21"/>
          <w:szCs w:val="21"/>
          <w:u w:val="single"/>
          <w:lang w:val="en-US" w:eastAsia="zh-CN"/>
        </w:rPr>
        <w:t>JH</w:t>
      </w:r>
      <w:r>
        <w:rPr>
          <w:rFonts w:hint="eastAsia" w:ascii="新宋体" w:hAnsi="新宋体" w:eastAsia="新宋体" w:cs="新宋体"/>
          <w:b w:val="0"/>
          <w:bCs w:val="0"/>
          <w:sz w:val="21"/>
          <w:szCs w:val="21"/>
          <w:u w:val="single"/>
        </w:rPr>
        <w:t>-</w:t>
      </w:r>
      <w:r>
        <w:rPr>
          <w:rFonts w:hint="eastAsia" w:ascii="新宋体" w:hAnsi="新宋体" w:eastAsia="新宋体" w:cs="新宋体"/>
          <w:b w:val="0"/>
          <w:bCs w:val="0"/>
          <w:sz w:val="21"/>
          <w:szCs w:val="21"/>
          <w:u w:val="single"/>
          <w:lang w:val="en-US" w:eastAsia="zh-CN"/>
        </w:rPr>
        <w:t>001</w:t>
      </w:r>
      <w:r>
        <w:rPr>
          <w:rFonts w:hint="eastAsia" w:ascii="新宋体" w:hAnsi="新宋体" w:eastAsia="新宋体" w:cs="新宋体"/>
          <w:color w:val="auto"/>
          <w:sz w:val="21"/>
          <w:szCs w:val="21"/>
          <w:u w:val="single"/>
        </w:rPr>
        <w:t>)</w:t>
      </w:r>
      <w:r>
        <w:rPr>
          <w:rFonts w:hint="eastAsia" w:ascii="新宋体" w:hAnsi="新宋体" w:eastAsia="新宋体" w:cs="新宋体"/>
          <w:color w:val="auto"/>
          <w:szCs w:val="21"/>
        </w:rPr>
        <w:t>的招标公告、招标文件、技术要求、图纸、招标补充（答疑）文件及相关资料，对其全部内容和要求有实质性了解，</w:t>
      </w:r>
      <w:r>
        <w:rPr>
          <w:rFonts w:hint="eastAsia" w:ascii="新宋体" w:hAnsi="新宋体" w:eastAsia="新宋体" w:cs="新宋体"/>
          <w:color w:val="000000"/>
          <w:szCs w:val="21"/>
        </w:rPr>
        <w:t>并对这些内容表示理解且无任何异议，如招标文件出现不同的解释时，承诺以招标方的解释为准</w:t>
      </w:r>
      <w:r>
        <w:rPr>
          <w:rFonts w:hint="eastAsia" w:ascii="新宋体" w:hAnsi="新宋体" w:eastAsia="新宋体" w:cs="新宋体"/>
          <w:i/>
          <w:color w:val="000000"/>
          <w:szCs w:val="21"/>
        </w:rPr>
        <w:t>。</w:t>
      </w:r>
    </w:p>
    <w:p>
      <w:pPr>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2、我方理解贵方不一定要接受最低价的投标；</w:t>
      </w:r>
    </w:p>
    <w:p>
      <w:pPr>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3、我方同意所递交的投标文件的投标有效期与招标文件规定的有效期一致，在此期间内我方如中标，我方将受此约束。</w:t>
      </w:r>
    </w:p>
    <w:p>
      <w:pPr>
        <w:spacing w:line="360" w:lineRule="exact"/>
        <w:ind w:left="-34" w:leftChars="-16"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4、不与采购人或者其他投标人相互串通投标，围标，不以行贿等不正当手段谋取中标。</w:t>
      </w:r>
    </w:p>
    <w:p>
      <w:pPr>
        <w:spacing w:line="360" w:lineRule="exact"/>
        <w:ind w:left="-34" w:leftChars="-16"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5、在备案、招标、投标、报名、开标、评标、询标、中标、签订合同、合同备案等招投标预备和进行的全过程中提供的资料均真实、有效，不弄虚作假。</w:t>
      </w:r>
    </w:p>
    <w:p>
      <w:pPr>
        <w:tabs>
          <w:tab w:val="left" w:pos="8820"/>
        </w:tabs>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6、我方相信贵方的招标结果是公正、合法的，无论我方中标还是落标，我方将接受这一结果。 </w:t>
      </w:r>
    </w:p>
    <w:p>
      <w:pPr>
        <w:tabs>
          <w:tab w:val="left" w:pos="8820"/>
        </w:tabs>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7、一旦我方中标，我方将严格依照招标文件中的相关规定与招标方签订合同。</w:t>
      </w:r>
    </w:p>
    <w:p>
      <w:pPr>
        <w:spacing w:line="360" w:lineRule="exact"/>
        <w:ind w:left="-34" w:leftChars="-16"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8、严格遵守开标会议纪律，不在开标会场吵闹、滋事，服从工作人员指挥。</w:t>
      </w:r>
    </w:p>
    <w:p>
      <w:pPr>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9、自愿接受义乌市公共资源交易管理办公室（以下简称公共资源办）的管理，并严格遵守公共资源办制定的招投标管理制度、规范和纪律；积极主动配合公共资源办的调查。及时、如实、全面地回答公共资源办提出的问题，并在调查笔录中签字确认。如拒绝签字确认的，则视为我单位及有关工作人员认可调查笔录中的全部内容，并对最终的调查结果无任何异议，且自愿放弃一切救济途径。</w:t>
      </w:r>
    </w:p>
    <w:p>
      <w:pPr>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10、按照法律法规和本项目招标文件规定的程序和方式进行异议和投诉，不越级投诉，不无理投诉。如捏造事实、伪造材料或者以非法手段取得证明材料进行投诉，给他人造成损失的，依法承担赔偿责任。</w:t>
      </w:r>
    </w:p>
    <w:p>
      <w:pPr>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11、投标文件中未明确的内容，一律按招标文件规定执行。</w:t>
      </w:r>
    </w:p>
    <w:p>
      <w:pPr>
        <w:spacing w:line="360" w:lineRule="exact"/>
        <w:ind w:firstLine="420" w:firstLineChars="200"/>
        <w:rPr>
          <w:rFonts w:hint="eastAsia" w:ascii="新宋体" w:hAnsi="新宋体" w:eastAsia="新宋体" w:cs="新宋体"/>
          <w:szCs w:val="21"/>
        </w:rPr>
      </w:pPr>
      <w:r>
        <w:rPr>
          <w:rFonts w:hint="eastAsia" w:ascii="新宋体" w:hAnsi="新宋体" w:eastAsia="新宋体" w:cs="新宋体"/>
          <w:color w:val="000000"/>
          <w:szCs w:val="21"/>
        </w:rPr>
        <w:t>12、</w:t>
      </w:r>
      <w:r>
        <w:rPr>
          <w:rFonts w:hint="eastAsia" w:ascii="新宋体" w:hAnsi="新宋体" w:eastAsia="新宋体" w:cs="新宋体"/>
          <w:szCs w:val="21"/>
        </w:rPr>
        <w:t>与本投标有关的一切正式往来通讯请寄：</w:t>
      </w:r>
    </w:p>
    <w:p>
      <w:pPr>
        <w:spacing w:line="360" w:lineRule="exact"/>
        <w:ind w:firstLine="420" w:firstLineChars="200"/>
        <w:rPr>
          <w:rFonts w:hint="eastAsia" w:ascii="新宋体" w:hAnsi="新宋体" w:eastAsia="新宋体" w:cs="新宋体"/>
          <w:szCs w:val="21"/>
        </w:rPr>
      </w:pPr>
    </w:p>
    <w:p>
      <w:pPr>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投标人名称：______________________地址：__________________  邮编：______________________  </w:t>
      </w:r>
    </w:p>
    <w:p>
      <w:pPr>
        <w:spacing w:line="360" w:lineRule="exact"/>
        <w:ind w:firstLine="420" w:firstLineChars="200"/>
        <w:rPr>
          <w:rFonts w:hint="eastAsia" w:ascii="新宋体" w:hAnsi="新宋体" w:eastAsia="新宋体" w:cs="新宋体"/>
          <w:szCs w:val="21"/>
        </w:rPr>
      </w:pPr>
      <w:r>
        <w:rPr>
          <w:rFonts w:hint="eastAsia" w:ascii="新宋体" w:hAnsi="新宋体" w:eastAsia="新宋体" w:cs="新宋体"/>
          <w:color w:val="000000"/>
          <w:szCs w:val="21"/>
        </w:rPr>
        <w:t>联系人及电话：______________________ 传真：______________________</w:t>
      </w:r>
      <w:r>
        <w:rPr>
          <w:rFonts w:hint="eastAsia" w:ascii="新宋体" w:hAnsi="新宋体" w:eastAsia="新宋体" w:cs="新宋体"/>
          <w:szCs w:val="21"/>
        </w:rPr>
        <w:t xml:space="preserve"> </w:t>
      </w:r>
    </w:p>
    <w:p>
      <w:pPr>
        <w:spacing w:line="360" w:lineRule="exact"/>
        <w:ind w:firstLine="420" w:firstLineChars="200"/>
        <w:rPr>
          <w:rFonts w:hint="eastAsia" w:ascii="新宋体" w:hAnsi="新宋体" w:eastAsia="新宋体" w:cs="新宋体"/>
          <w:szCs w:val="21"/>
        </w:rPr>
      </w:pPr>
    </w:p>
    <w:p>
      <w:pPr>
        <w:spacing w:line="360" w:lineRule="exact"/>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上述承诺事项已认真逐项核对，均表达我单位真实意见，愿承担任何责任。若有任何弄虚作假内容或未遵守上述约定的，经查实后，愿意放弃投标及中标资格，招标方可据此不予退还我单位的投标保证金，以做该项目损失的赔偿（如没收的投标保证金及银行同期存款利息不能弥补由于其被判失去中标权而给招标方造成报价的差额损失的，同意对超过部分予以赔偿）。如我单位违反上述承诺事项，无条件接受公共资源办或相关监管部门作出的任何管理和处理决定，并自愿承担一切不利的后果。</w:t>
      </w:r>
    </w:p>
    <w:p>
      <w:pPr>
        <w:spacing w:line="440" w:lineRule="exact"/>
        <w:ind w:firstLine="420" w:firstLineChars="200"/>
        <w:rPr>
          <w:rFonts w:hint="eastAsia" w:ascii="新宋体" w:hAnsi="新宋体" w:eastAsia="新宋体" w:cs="新宋体"/>
          <w:color w:val="000000"/>
          <w:szCs w:val="21"/>
        </w:rPr>
      </w:pPr>
    </w:p>
    <w:p>
      <w:pPr>
        <w:spacing w:line="440" w:lineRule="exact"/>
        <w:ind w:firstLine="420" w:firstLineChars="200"/>
        <w:rPr>
          <w:rFonts w:hint="eastAsia" w:ascii="新宋体" w:hAnsi="新宋体" w:eastAsia="新宋体" w:cs="新宋体"/>
          <w:color w:val="000000"/>
          <w:szCs w:val="21"/>
        </w:rPr>
      </w:pPr>
    </w:p>
    <w:p>
      <w:pPr>
        <w:spacing w:line="440" w:lineRule="exact"/>
        <w:ind w:firstLine="420" w:firstLineChars="200"/>
        <w:rPr>
          <w:rFonts w:hint="eastAsia" w:ascii="新宋体" w:hAnsi="新宋体" w:eastAsia="新宋体" w:cs="新宋体"/>
          <w:color w:val="000000"/>
          <w:szCs w:val="21"/>
        </w:rPr>
      </w:pPr>
    </w:p>
    <w:p>
      <w:pPr>
        <w:spacing w:line="400" w:lineRule="exact"/>
        <w:rPr>
          <w:rFonts w:hint="eastAsia" w:ascii="新宋体" w:hAnsi="新宋体" w:eastAsia="新宋体" w:cs="新宋体"/>
          <w:bCs/>
          <w:color w:val="000000"/>
          <w:sz w:val="30"/>
        </w:rPr>
      </w:pPr>
      <w:r>
        <w:rPr>
          <w:rFonts w:hint="eastAsia" w:ascii="新宋体" w:hAnsi="新宋体" w:eastAsia="新宋体" w:cs="新宋体"/>
          <w:color w:val="000000"/>
          <w:szCs w:val="21"/>
        </w:rPr>
        <w:t>投标人（公章）：        法定代表人或其授权的委托代理人（签字或盖章）：          年   月   日</w:t>
      </w:r>
    </w:p>
    <w:p>
      <w:pPr>
        <w:spacing w:line="400" w:lineRule="exact"/>
        <w:rPr>
          <w:rFonts w:hint="eastAsia" w:ascii="新宋体" w:hAnsi="新宋体" w:eastAsia="新宋体" w:cs="新宋体"/>
          <w:bCs/>
          <w:color w:val="000000"/>
          <w:sz w:val="30"/>
        </w:rPr>
      </w:pPr>
    </w:p>
    <w:p>
      <w:pPr>
        <w:spacing w:line="400" w:lineRule="exact"/>
        <w:rPr>
          <w:rFonts w:hint="eastAsia" w:ascii="新宋体" w:hAnsi="新宋体" w:eastAsia="新宋体" w:cs="新宋体"/>
          <w:bCs/>
          <w:color w:val="000000"/>
          <w:sz w:val="30"/>
        </w:rPr>
      </w:pPr>
      <w:r>
        <w:rPr>
          <w:rFonts w:hint="eastAsia" w:ascii="新宋体" w:hAnsi="新宋体" w:eastAsia="新宋体" w:cs="新宋体"/>
          <w:bCs/>
          <w:color w:val="000000"/>
          <w:sz w:val="30"/>
        </w:rPr>
        <w:br w:type="page"/>
      </w:r>
      <w:r>
        <w:rPr>
          <w:rFonts w:hint="eastAsia" w:ascii="新宋体" w:hAnsi="新宋体" w:eastAsia="新宋体" w:cs="新宋体"/>
          <w:bCs/>
          <w:color w:val="000000"/>
          <w:sz w:val="30"/>
        </w:rPr>
        <w:t>附件2：</w:t>
      </w:r>
    </w:p>
    <w:p>
      <w:pPr>
        <w:spacing w:line="360" w:lineRule="auto"/>
        <w:jc w:val="center"/>
        <w:rPr>
          <w:rFonts w:hint="eastAsia" w:ascii="新宋体" w:hAnsi="新宋体" w:eastAsia="新宋体" w:cs="新宋体"/>
          <w:b/>
          <w:bCs/>
          <w:color w:val="000000"/>
          <w:sz w:val="44"/>
          <w:szCs w:val="44"/>
        </w:rPr>
      </w:pPr>
      <w:r>
        <w:rPr>
          <w:rFonts w:hint="eastAsia" w:ascii="新宋体" w:hAnsi="新宋体" w:eastAsia="新宋体" w:cs="新宋体"/>
          <w:b/>
          <w:bCs/>
          <w:color w:val="000000"/>
          <w:sz w:val="44"/>
          <w:szCs w:val="44"/>
        </w:rPr>
        <w:t>售后服务承诺书</w:t>
      </w: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1、保修年限、范围、保修条件</w:t>
      </w: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2、解决问题、排除故障的速度</w:t>
      </w: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3、设备使用的培训、指导</w:t>
      </w: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4、售后服务方面的其他承诺（安装、定期巡检等）</w:t>
      </w: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5、售后服务联系方式（联系人、联系电话、维修点、响应时间等）</w:t>
      </w: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6、其他优惠条件</w:t>
      </w: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 xml:space="preserve">                       </w:t>
      </w:r>
    </w:p>
    <w:p>
      <w:pPr>
        <w:spacing w:line="360" w:lineRule="auto"/>
        <w:jc w:val="center"/>
        <w:rPr>
          <w:rFonts w:hint="eastAsia" w:ascii="新宋体" w:hAnsi="新宋体" w:eastAsia="新宋体" w:cs="新宋体"/>
          <w:color w:val="000000"/>
          <w:sz w:val="24"/>
          <w:u w:val="single"/>
        </w:rPr>
      </w:pPr>
      <w:r>
        <w:rPr>
          <w:rFonts w:hint="eastAsia" w:ascii="新宋体" w:hAnsi="新宋体" w:eastAsia="新宋体" w:cs="新宋体"/>
          <w:color w:val="000000"/>
          <w:sz w:val="24"/>
        </w:rPr>
        <w:t>企业名称（盖章）：</w:t>
      </w:r>
      <w:r>
        <w:rPr>
          <w:rFonts w:hint="eastAsia" w:ascii="新宋体" w:hAnsi="新宋体" w:eastAsia="新宋体" w:cs="新宋体"/>
          <w:color w:val="000000"/>
          <w:sz w:val="24"/>
          <w:u w:val="single"/>
        </w:rPr>
        <w:t xml:space="preserve">                           </w:t>
      </w:r>
    </w:p>
    <w:p>
      <w:pPr>
        <w:spacing w:line="360" w:lineRule="auto"/>
        <w:jc w:val="center"/>
        <w:rPr>
          <w:rFonts w:hint="eastAsia" w:ascii="新宋体" w:hAnsi="新宋体" w:eastAsia="新宋体" w:cs="新宋体"/>
          <w:color w:val="000000"/>
          <w:sz w:val="24"/>
        </w:rPr>
      </w:pPr>
      <w:r>
        <w:rPr>
          <w:rFonts w:hint="eastAsia" w:ascii="新宋体" w:hAnsi="新宋体" w:eastAsia="新宋体" w:cs="新宋体"/>
          <w:color w:val="000000"/>
          <w:sz w:val="24"/>
        </w:rPr>
        <w:t xml:space="preserve">     签字代表  ：</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 xml:space="preserve">           </w:t>
      </w:r>
    </w:p>
    <w:p>
      <w:pPr>
        <w:spacing w:line="360" w:lineRule="auto"/>
        <w:jc w:val="right"/>
        <w:rPr>
          <w:rFonts w:hint="eastAsia" w:ascii="新宋体" w:hAnsi="新宋体" w:eastAsia="新宋体" w:cs="新宋体"/>
          <w:color w:val="000000"/>
          <w:sz w:val="24"/>
        </w:rPr>
      </w:pPr>
      <w:r>
        <w:rPr>
          <w:rFonts w:hint="eastAsia" w:ascii="新宋体" w:hAnsi="新宋体" w:eastAsia="新宋体" w:cs="新宋体"/>
          <w:color w:val="000000"/>
          <w:sz w:val="24"/>
        </w:rPr>
        <w:t>年      月      日</w:t>
      </w:r>
    </w:p>
    <w:p>
      <w:pPr>
        <w:rPr>
          <w:rFonts w:hint="eastAsia" w:ascii="新宋体" w:hAnsi="新宋体" w:eastAsia="新宋体" w:cs="新宋体"/>
          <w:bCs/>
          <w:color w:val="000000"/>
          <w:sz w:val="30"/>
          <w:szCs w:val="30"/>
        </w:rPr>
      </w:pPr>
      <w:r>
        <w:rPr>
          <w:rFonts w:hint="eastAsia" w:ascii="新宋体" w:hAnsi="新宋体" w:eastAsia="新宋体" w:cs="新宋体"/>
          <w:bCs/>
          <w:color w:val="000000"/>
          <w:sz w:val="30"/>
          <w:szCs w:val="30"/>
        </w:rPr>
        <w:br w:type="page"/>
      </w:r>
      <w:r>
        <w:rPr>
          <w:rFonts w:hint="eastAsia" w:ascii="新宋体" w:hAnsi="新宋体" w:eastAsia="新宋体" w:cs="新宋体"/>
          <w:bCs/>
          <w:color w:val="000000"/>
          <w:sz w:val="30"/>
          <w:szCs w:val="30"/>
        </w:rPr>
        <w:t>附件3：</w:t>
      </w:r>
    </w:p>
    <w:p>
      <w:pPr>
        <w:spacing w:line="360" w:lineRule="auto"/>
        <w:jc w:val="center"/>
        <w:rPr>
          <w:rFonts w:hint="eastAsia" w:ascii="新宋体" w:hAnsi="新宋体" w:eastAsia="新宋体" w:cs="新宋体"/>
          <w:b/>
          <w:color w:val="000000"/>
          <w:sz w:val="36"/>
        </w:rPr>
      </w:pPr>
      <w:r>
        <w:rPr>
          <w:rFonts w:hint="eastAsia" w:ascii="新宋体" w:hAnsi="新宋体" w:eastAsia="新宋体" w:cs="新宋体"/>
          <w:b/>
          <w:bCs/>
          <w:color w:val="000000"/>
          <w:sz w:val="44"/>
          <w:szCs w:val="44"/>
        </w:rPr>
        <w:t>产品质量承诺书</w:t>
      </w:r>
    </w:p>
    <w:p>
      <w:pPr>
        <w:spacing w:line="360" w:lineRule="auto"/>
        <w:rPr>
          <w:rFonts w:hint="eastAsia" w:ascii="新宋体" w:hAnsi="新宋体" w:eastAsia="新宋体" w:cs="新宋体"/>
          <w:b/>
          <w:color w:val="000000"/>
          <w:sz w:val="24"/>
        </w:rPr>
      </w:pPr>
      <w:r>
        <w:rPr>
          <w:rFonts w:hint="eastAsia" w:ascii="新宋体" w:hAnsi="新宋体" w:eastAsia="新宋体" w:cs="新宋体"/>
          <w:b/>
          <w:color w:val="000000"/>
          <w:sz w:val="24"/>
        </w:rPr>
        <w:t xml:space="preserve"> </w:t>
      </w:r>
    </w:p>
    <w:p>
      <w:pPr>
        <w:pStyle w:val="9"/>
        <w:snapToGrid w:val="0"/>
        <w:spacing w:line="360" w:lineRule="auto"/>
        <w:rPr>
          <w:rFonts w:hint="eastAsia" w:ascii="新宋体" w:hAnsi="新宋体" w:eastAsia="新宋体" w:cs="新宋体"/>
          <w:color w:val="000000"/>
          <w:szCs w:val="18"/>
        </w:rPr>
      </w:pPr>
      <w:r>
        <w:rPr>
          <w:rFonts w:hint="eastAsia" w:ascii="新宋体" w:hAnsi="新宋体" w:eastAsia="新宋体" w:cs="新宋体"/>
          <w:b/>
          <w:color w:val="000000"/>
        </w:rPr>
        <w:t xml:space="preserve">    </w:t>
      </w:r>
      <w:r>
        <w:rPr>
          <w:rFonts w:hint="eastAsia" w:ascii="新宋体" w:hAnsi="新宋体" w:eastAsia="新宋体" w:cs="新宋体"/>
          <w:color w:val="000000"/>
          <w:szCs w:val="18"/>
        </w:rPr>
        <w:t>根据贵方为</w:t>
      </w:r>
      <w:r>
        <w:rPr>
          <w:rFonts w:hint="eastAsia" w:ascii="新宋体" w:hAnsi="新宋体" w:eastAsia="新宋体" w:cs="新宋体"/>
          <w:color w:val="000000"/>
          <w:szCs w:val="18"/>
          <w:u w:val="single"/>
        </w:rPr>
        <w:t xml:space="preserve">      </w:t>
      </w:r>
      <w:r>
        <w:rPr>
          <w:rFonts w:hint="eastAsia" w:ascii="新宋体" w:hAnsi="新宋体" w:eastAsia="新宋体" w:cs="新宋体"/>
          <w:color w:val="000000"/>
          <w:szCs w:val="18"/>
        </w:rPr>
        <w:t xml:space="preserve">年 </w:t>
      </w:r>
      <w:r>
        <w:rPr>
          <w:rFonts w:hint="eastAsia" w:ascii="新宋体" w:hAnsi="新宋体" w:eastAsia="新宋体" w:cs="新宋体"/>
          <w:color w:val="000000"/>
          <w:szCs w:val="18"/>
          <w:u w:val="single"/>
        </w:rPr>
        <w:t xml:space="preserve">   </w:t>
      </w:r>
      <w:r>
        <w:rPr>
          <w:rFonts w:hint="eastAsia" w:ascii="新宋体" w:hAnsi="新宋体" w:eastAsia="新宋体" w:cs="新宋体"/>
          <w:color w:val="000000"/>
          <w:szCs w:val="18"/>
        </w:rPr>
        <w:t>月</w:t>
      </w:r>
      <w:r>
        <w:rPr>
          <w:rFonts w:hint="eastAsia" w:ascii="新宋体" w:hAnsi="新宋体" w:eastAsia="新宋体" w:cs="新宋体"/>
          <w:color w:val="000000"/>
          <w:szCs w:val="18"/>
          <w:u w:val="single"/>
        </w:rPr>
        <w:t xml:space="preserve">   </w:t>
      </w:r>
      <w:r>
        <w:rPr>
          <w:rFonts w:hint="eastAsia" w:ascii="新宋体" w:hAnsi="新宋体" w:eastAsia="新宋体" w:cs="新宋体"/>
          <w:color w:val="000000"/>
          <w:szCs w:val="18"/>
        </w:rPr>
        <w:t>日</w:t>
      </w:r>
      <w:r>
        <w:rPr>
          <w:rFonts w:hint="eastAsia" w:ascii="新宋体" w:hAnsi="新宋体" w:eastAsia="新宋体" w:cs="新宋体"/>
          <w:color w:val="000000"/>
          <w:szCs w:val="18"/>
          <w:u w:val="single"/>
        </w:rPr>
        <w:t xml:space="preserve">          </w:t>
      </w:r>
      <w:r>
        <w:rPr>
          <w:rFonts w:hint="eastAsia" w:ascii="新宋体" w:hAnsi="新宋体" w:eastAsia="新宋体" w:cs="新宋体"/>
          <w:color w:val="000000"/>
          <w:szCs w:val="18"/>
        </w:rPr>
        <w:t>（采购编号）招标项目的投标邀请，我方对该项目做出如下产品质量承诺：</w:t>
      </w:r>
    </w:p>
    <w:p>
      <w:pPr>
        <w:numPr>
          <w:ilvl w:val="0"/>
          <w:numId w:val="4"/>
        </w:numPr>
        <w:tabs>
          <w:tab w:val="left" w:pos="840"/>
        </w:tabs>
        <w:spacing w:line="360" w:lineRule="auto"/>
        <w:rPr>
          <w:rFonts w:hint="eastAsia" w:ascii="新宋体" w:hAnsi="新宋体" w:eastAsia="新宋体" w:cs="新宋体"/>
          <w:bCs/>
          <w:color w:val="000000"/>
          <w:sz w:val="24"/>
        </w:rPr>
      </w:pPr>
      <w:r>
        <w:rPr>
          <w:rFonts w:hint="eastAsia" w:ascii="新宋体" w:hAnsi="新宋体" w:eastAsia="新宋体" w:cs="新宋体"/>
          <w:bCs/>
          <w:color w:val="000000"/>
          <w:sz w:val="24"/>
        </w:rPr>
        <w:t>技术规范及相关产品标准：</w:t>
      </w:r>
    </w:p>
    <w:p>
      <w:pPr>
        <w:spacing w:line="360" w:lineRule="auto"/>
        <w:rPr>
          <w:rFonts w:hint="eastAsia" w:ascii="新宋体" w:hAnsi="新宋体" w:eastAsia="新宋体" w:cs="新宋体"/>
          <w:bCs/>
          <w:color w:val="000000"/>
          <w:sz w:val="24"/>
        </w:rPr>
      </w:pPr>
    </w:p>
    <w:p>
      <w:pPr>
        <w:spacing w:line="360" w:lineRule="auto"/>
        <w:rPr>
          <w:rFonts w:hint="eastAsia" w:ascii="新宋体" w:hAnsi="新宋体" w:eastAsia="新宋体" w:cs="新宋体"/>
          <w:bCs/>
          <w:color w:val="000000"/>
          <w:sz w:val="24"/>
        </w:rPr>
      </w:pPr>
    </w:p>
    <w:p>
      <w:pPr>
        <w:numPr>
          <w:ilvl w:val="0"/>
          <w:numId w:val="4"/>
        </w:numPr>
        <w:tabs>
          <w:tab w:val="left" w:pos="840"/>
        </w:tabs>
        <w:spacing w:line="360" w:lineRule="auto"/>
        <w:rPr>
          <w:rFonts w:hint="eastAsia" w:ascii="新宋体" w:hAnsi="新宋体" w:eastAsia="新宋体" w:cs="新宋体"/>
          <w:color w:val="000000"/>
          <w:sz w:val="24"/>
          <w:szCs w:val="18"/>
        </w:rPr>
      </w:pPr>
      <w:r>
        <w:rPr>
          <w:rFonts w:hint="eastAsia" w:ascii="新宋体" w:hAnsi="新宋体" w:eastAsia="新宋体" w:cs="新宋体"/>
          <w:color w:val="000000"/>
          <w:sz w:val="24"/>
          <w:szCs w:val="18"/>
        </w:rPr>
        <w:t>产品都属于厂家原装正品产品：</w:t>
      </w:r>
    </w:p>
    <w:p>
      <w:pPr>
        <w:spacing w:line="360" w:lineRule="auto"/>
        <w:rPr>
          <w:rFonts w:hint="eastAsia" w:ascii="新宋体" w:hAnsi="新宋体" w:eastAsia="新宋体" w:cs="新宋体"/>
          <w:bCs/>
          <w:color w:val="000000"/>
          <w:sz w:val="24"/>
        </w:rPr>
      </w:pPr>
    </w:p>
    <w:p>
      <w:pPr>
        <w:spacing w:line="360" w:lineRule="auto"/>
        <w:rPr>
          <w:rFonts w:hint="eastAsia" w:ascii="新宋体" w:hAnsi="新宋体" w:eastAsia="新宋体" w:cs="新宋体"/>
          <w:bCs/>
          <w:color w:val="000000"/>
          <w:sz w:val="24"/>
        </w:rPr>
      </w:pPr>
    </w:p>
    <w:p>
      <w:pPr>
        <w:numPr>
          <w:ilvl w:val="0"/>
          <w:numId w:val="4"/>
        </w:numPr>
        <w:tabs>
          <w:tab w:val="left" w:pos="840"/>
        </w:tabs>
        <w:spacing w:line="360" w:lineRule="auto"/>
        <w:rPr>
          <w:rFonts w:hint="eastAsia" w:ascii="新宋体" w:hAnsi="新宋体" w:eastAsia="新宋体" w:cs="新宋体"/>
          <w:bCs/>
          <w:color w:val="000000"/>
          <w:sz w:val="24"/>
        </w:rPr>
      </w:pPr>
      <w:r>
        <w:rPr>
          <w:rFonts w:hint="eastAsia" w:ascii="新宋体" w:hAnsi="新宋体" w:eastAsia="新宋体" w:cs="新宋体"/>
          <w:bCs/>
          <w:color w:val="000000"/>
          <w:sz w:val="24"/>
        </w:rPr>
        <w:t>产品“三包”内容：</w:t>
      </w:r>
    </w:p>
    <w:p>
      <w:pPr>
        <w:spacing w:line="360" w:lineRule="auto"/>
        <w:rPr>
          <w:rFonts w:hint="eastAsia" w:ascii="新宋体" w:hAnsi="新宋体" w:eastAsia="新宋体" w:cs="新宋体"/>
          <w:bCs/>
          <w:color w:val="000000"/>
          <w:sz w:val="24"/>
        </w:rPr>
      </w:pPr>
    </w:p>
    <w:p>
      <w:pPr>
        <w:spacing w:line="360" w:lineRule="auto"/>
        <w:rPr>
          <w:rFonts w:hint="eastAsia" w:ascii="新宋体" w:hAnsi="新宋体" w:eastAsia="新宋体" w:cs="新宋体"/>
          <w:bCs/>
          <w:color w:val="000000"/>
          <w:sz w:val="24"/>
        </w:rPr>
      </w:pPr>
    </w:p>
    <w:p>
      <w:pPr>
        <w:numPr>
          <w:ilvl w:val="0"/>
          <w:numId w:val="4"/>
        </w:numPr>
        <w:tabs>
          <w:tab w:val="left" w:pos="840"/>
        </w:tabs>
        <w:spacing w:line="360" w:lineRule="auto"/>
        <w:rPr>
          <w:rFonts w:hint="eastAsia" w:ascii="新宋体" w:hAnsi="新宋体" w:eastAsia="新宋体" w:cs="新宋体"/>
          <w:bCs/>
          <w:color w:val="000000"/>
          <w:sz w:val="24"/>
        </w:rPr>
      </w:pPr>
      <w:r>
        <w:rPr>
          <w:rFonts w:hint="eastAsia" w:ascii="新宋体" w:hAnsi="新宋体" w:eastAsia="新宋体" w:cs="新宋体"/>
          <w:bCs/>
          <w:color w:val="000000"/>
          <w:sz w:val="24"/>
        </w:rPr>
        <w:t>质量问题的处理：</w:t>
      </w:r>
    </w:p>
    <w:p>
      <w:pPr>
        <w:spacing w:line="360" w:lineRule="auto"/>
        <w:rPr>
          <w:rFonts w:hint="eastAsia" w:ascii="新宋体" w:hAnsi="新宋体" w:eastAsia="新宋体" w:cs="新宋体"/>
          <w:bCs/>
          <w:color w:val="000000"/>
          <w:sz w:val="24"/>
        </w:rPr>
      </w:pPr>
    </w:p>
    <w:p>
      <w:pPr>
        <w:spacing w:line="360" w:lineRule="auto"/>
        <w:rPr>
          <w:rFonts w:hint="eastAsia" w:ascii="新宋体" w:hAnsi="新宋体" w:eastAsia="新宋体" w:cs="新宋体"/>
          <w:bCs/>
          <w:color w:val="000000"/>
          <w:sz w:val="24"/>
        </w:rPr>
      </w:pPr>
    </w:p>
    <w:p>
      <w:pPr>
        <w:numPr>
          <w:ilvl w:val="0"/>
          <w:numId w:val="4"/>
        </w:numPr>
        <w:tabs>
          <w:tab w:val="left" w:pos="840"/>
        </w:tabs>
        <w:spacing w:line="360" w:lineRule="auto"/>
        <w:rPr>
          <w:rFonts w:hint="eastAsia" w:ascii="新宋体" w:hAnsi="新宋体" w:eastAsia="新宋体" w:cs="新宋体"/>
          <w:bCs/>
          <w:color w:val="000000"/>
          <w:sz w:val="24"/>
        </w:rPr>
      </w:pPr>
      <w:r>
        <w:rPr>
          <w:rFonts w:hint="eastAsia" w:ascii="新宋体" w:hAnsi="新宋体" w:eastAsia="新宋体" w:cs="新宋体"/>
          <w:bCs/>
          <w:color w:val="000000"/>
          <w:sz w:val="24"/>
        </w:rPr>
        <w:t>质量投诉的处理：</w:t>
      </w:r>
    </w:p>
    <w:p>
      <w:pPr>
        <w:spacing w:line="360" w:lineRule="auto"/>
        <w:jc w:val="center"/>
        <w:rPr>
          <w:rFonts w:hint="eastAsia" w:ascii="新宋体" w:hAnsi="新宋体" w:eastAsia="新宋体" w:cs="新宋体"/>
          <w:b/>
          <w:color w:val="000000"/>
          <w:sz w:val="24"/>
        </w:rPr>
      </w:pPr>
    </w:p>
    <w:p>
      <w:pPr>
        <w:spacing w:line="360" w:lineRule="auto"/>
        <w:jc w:val="center"/>
        <w:rPr>
          <w:rFonts w:hint="eastAsia" w:ascii="新宋体" w:hAnsi="新宋体" w:eastAsia="新宋体" w:cs="新宋体"/>
          <w:b/>
          <w:color w:val="000000"/>
          <w:sz w:val="24"/>
        </w:rPr>
      </w:pPr>
    </w:p>
    <w:p>
      <w:pPr>
        <w:spacing w:line="360" w:lineRule="auto"/>
        <w:jc w:val="center"/>
        <w:rPr>
          <w:rFonts w:hint="eastAsia" w:ascii="新宋体" w:hAnsi="新宋体" w:eastAsia="新宋体" w:cs="新宋体"/>
          <w:b/>
          <w:color w:val="000000"/>
          <w:sz w:val="24"/>
        </w:rPr>
      </w:pPr>
    </w:p>
    <w:p>
      <w:pPr>
        <w:spacing w:line="360" w:lineRule="auto"/>
        <w:rPr>
          <w:rFonts w:hint="eastAsia" w:ascii="新宋体" w:hAnsi="新宋体" w:eastAsia="新宋体" w:cs="新宋体"/>
          <w:bCs/>
          <w:color w:val="000000"/>
          <w:sz w:val="24"/>
        </w:rPr>
      </w:pPr>
      <w:r>
        <w:rPr>
          <w:rFonts w:hint="eastAsia" w:ascii="新宋体" w:hAnsi="新宋体" w:eastAsia="新宋体" w:cs="新宋体"/>
          <w:bCs/>
          <w:color w:val="000000"/>
          <w:sz w:val="24"/>
        </w:rPr>
        <w:t xml:space="preserve">    6、其它：</w:t>
      </w:r>
    </w:p>
    <w:p>
      <w:pPr>
        <w:spacing w:line="360" w:lineRule="auto"/>
        <w:jc w:val="center"/>
        <w:rPr>
          <w:rFonts w:hint="eastAsia" w:ascii="新宋体" w:hAnsi="新宋体" w:eastAsia="新宋体" w:cs="新宋体"/>
          <w:b/>
          <w:color w:val="000000"/>
          <w:sz w:val="24"/>
        </w:rPr>
      </w:pPr>
    </w:p>
    <w:p>
      <w:pPr>
        <w:spacing w:line="360" w:lineRule="auto"/>
        <w:jc w:val="center"/>
        <w:rPr>
          <w:rFonts w:hint="eastAsia" w:ascii="新宋体" w:hAnsi="新宋体" w:eastAsia="新宋体" w:cs="新宋体"/>
          <w:b/>
          <w:color w:val="000000"/>
          <w:sz w:val="44"/>
        </w:rPr>
      </w:pPr>
    </w:p>
    <w:p>
      <w:pPr>
        <w:spacing w:line="360" w:lineRule="auto"/>
        <w:jc w:val="center"/>
        <w:rPr>
          <w:rFonts w:hint="eastAsia" w:ascii="新宋体" w:hAnsi="新宋体" w:eastAsia="新宋体" w:cs="新宋体"/>
          <w:b/>
          <w:color w:val="000000"/>
          <w:sz w:val="44"/>
        </w:rPr>
      </w:pPr>
    </w:p>
    <w:p>
      <w:pPr>
        <w:spacing w:line="360" w:lineRule="auto"/>
        <w:jc w:val="right"/>
        <w:rPr>
          <w:rFonts w:hint="eastAsia" w:ascii="新宋体" w:hAnsi="新宋体" w:eastAsia="新宋体" w:cs="新宋体"/>
          <w:b/>
          <w:color w:val="000000"/>
          <w:sz w:val="24"/>
        </w:rPr>
      </w:pPr>
      <w:r>
        <w:rPr>
          <w:rFonts w:hint="eastAsia" w:ascii="新宋体" w:hAnsi="新宋体" w:eastAsia="新宋体" w:cs="新宋体"/>
          <w:b/>
          <w:color w:val="000000"/>
          <w:sz w:val="24"/>
        </w:rPr>
        <w:t>企业名称（盖章）:________________________</w:t>
      </w:r>
    </w:p>
    <w:p>
      <w:pPr>
        <w:spacing w:line="360" w:lineRule="auto"/>
        <w:jc w:val="right"/>
        <w:rPr>
          <w:rFonts w:hint="eastAsia" w:ascii="新宋体" w:hAnsi="新宋体" w:eastAsia="新宋体" w:cs="新宋体"/>
          <w:b/>
          <w:color w:val="000000"/>
          <w:sz w:val="24"/>
        </w:rPr>
      </w:pPr>
      <w:r>
        <w:rPr>
          <w:rFonts w:hint="eastAsia" w:ascii="新宋体" w:hAnsi="新宋体" w:eastAsia="新宋体" w:cs="新宋体"/>
          <w:b/>
          <w:color w:val="000000"/>
          <w:sz w:val="24"/>
        </w:rPr>
        <w:t>签字代表：________________________</w:t>
      </w:r>
    </w:p>
    <w:p>
      <w:pPr>
        <w:pStyle w:val="5"/>
        <w:spacing w:line="360" w:lineRule="auto"/>
        <w:jc w:val="right"/>
        <w:rPr>
          <w:rFonts w:hint="eastAsia" w:ascii="新宋体" w:hAnsi="新宋体" w:eastAsia="新宋体" w:cs="新宋体"/>
          <w:b/>
          <w:color w:val="000000"/>
          <w:sz w:val="24"/>
        </w:rPr>
      </w:pPr>
      <w:r>
        <w:rPr>
          <w:rFonts w:hint="eastAsia" w:ascii="新宋体" w:hAnsi="新宋体" w:eastAsia="新宋体" w:cs="新宋体"/>
          <w:b/>
          <w:color w:val="000000"/>
          <w:sz w:val="24"/>
        </w:rPr>
        <w:t>年        月        日</w:t>
      </w:r>
    </w:p>
    <w:p>
      <w:pPr>
        <w:tabs>
          <w:tab w:val="left" w:pos="1980"/>
        </w:tabs>
        <w:spacing w:line="360" w:lineRule="auto"/>
        <w:rPr>
          <w:rFonts w:hint="eastAsia" w:ascii="新宋体" w:hAnsi="新宋体" w:eastAsia="新宋体" w:cs="新宋体"/>
          <w:bCs/>
          <w:color w:val="000000"/>
          <w:sz w:val="30"/>
          <w:szCs w:val="30"/>
        </w:rPr>
      </w:pPr>
      <w:r>
        <w:rPr>
          <w:rFonts w:hint="eastAsia" w:ascii="新宋体" w:hAnsi="新宋体" w:eastAsia="新宋体" w:cs="新宋体"/>
          <w:bCs/>
          <w:color w:val="000000"/>
          <w:sz w:val="30"/>
          <w:szCs w:val="30"/>
        </w:rPr>
        <w:br w:type="page"/>
      </w:r>
      <w:r>
        <w:rPr>
          <w:rFonts w:hint="eastAsia" w:ascii="新宋体" w:hAnsi="新宋体" w:eastAsia="新宋体" w:cs="新宋体"/>
          <w:bCs/>
          <w:color w:val="000000"/>
          <w:sz w:val="30"/>
          <w:szCs w:val="30"/>
        </w:rPr>
        <w:t>附件4：</w:t>
      </w:r>
    </w:p>
    <w:p>
      <w:pPr>
        <w:pStyle w:val="5"/>
        <w:spacing w:line="400" w:lineRule="atLeast"/>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规 范 偏 离 表</w:t>
      </w:r>
    </w:p>
    <w:p>
      <w:pPr>
        <w:spacing w:before="156" w:beforeLines="50" w:after="156" w:afterLines="50"/>
        <w:jc w:val="center"/>
        <w:rPr>
          <w:rFonts w:hint="eastAsia" w:ascii="新宋体" w:hAnsi="新宋体" w:eastAsia="新宋体" w:cs="新宋体"/>
          <w:color w:val="000000"/>
          <w:sz w:val="24"/>
        </w:rPr>
      </w:pPr>
    </w:p>
    <w:p>
      <w:pPr>
        <w:pStyle w:val="5"/>
        <w:spacing w:before="156" w:beforeLines="50" w:line="400" w:lineRule="atLeast"/>
        <w:rPr>
          <w:rFonts w:hint="eastAsia" w:ascii="新宋体" w:hAnsi="新宋体" w:eastAsia="新宋体" w:cs="新宋体"/>
          <w:bCs/>
          <w:sz w:val="24"/>
          <w:szCs w:val="44"/>
        </w:rPr>
      </w:pPr>
      <w:r>
        <w:rPr>
          <w:rFonts w:hint="eastAsia" w:ascii="新宋体" w:hAnsi="新宋体" w:eastAsia="新宋体" w:cs="新宋体"/>
          <w:sz w:val="24"/>
        </w:rPr>
        <w:t>投标方名称：_____________________</w:t>
      </w:r>
      <w:r>
        <w:rPr>
          <w:rFonts w:hint="eastAsia" w:ascii="新宋体" w:hAnsi="新宋体" w:eastAsia="新宋体" w:cs="新宋体"/>
        </w:rPr>
        <w:t xml:space="preserve">(公章)             </w:t>
      </w:r>
      <w:r>
        <w:rPr>
          <w:rFonts w:hint="eastAsia" w:ascii="新宋体" w:hAnsi="新宋体" w:eastAsia="新宋体" w:cs="新宋体"/>
          <w:bCs/>
          <w:sz w:val="24"/>
        </w:rPr>
        <w:t>采购编号：________________</w:t>
      </w:r>
    </w:p>
    <w:tbl>
      <w:tblPr>
        <w:tblStyle w:val="12"/>
        <w:tblpPr w:topFromText="180" w:bottomFromText="180" w:vertAnchor="text" w:horzAnchor="margin" w:tblpY="264"/>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20"/>
        <w:gridCol w:w="2340"/>
        <w:gridCol w:w="216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序 号</w:t>
            </w:r>
          </w:p>
        </w:tc>
        <w:tc>
          <w:tcPr>
            <w:tcW w:w="1820"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内容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招标文件</w:t>
            </w:r>
          </w:p>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规范要求</w:t>
            </w:r>
          </w:p>
        </w:tc>
        <w:tc>
          <w:tcPr>
            <w:tcW w:w="2160"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投标文件</w:t>
            </w:r>
          </w:p>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对应规范</w:t>
            </w:r>
          </w:p>
        </w:tc>
        <w:tc>
          <w:tcPr>
            <w:tcW w:w="1988"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restart"/>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p>
            <w:pPr>
              <w:pStyle w:val="5"/>
              <w:spacing w:line="400" w:lineRule="atLeast"/>
              <w:jc w:val="center"/>
              <w:rPr>
                <w:rFonts w:hint="eastAsia" w:ascii="新宋体" w:hAnsi="新宋体" w:eastAsia="新宋体" w:cs="新宋体"/>
                <w:sz w:val="24"/>
                <w:szCs w:val="24"/>
              </w:rPr>
            </w:pPr>
          </w:p>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商务</w:t>
            </w:r>
          </w:p>
          <w:p>
            <w:pPr>
              <w:pStyle w:val="5"/>
              <w:spacing w:line="400" w:lineRule="atLeast"/>
              <w:jc w:val="center"/>
              <w:rPr>
                <w:rFonts w:hint="eastAsia" w:ascii="新宋体" w:hAnsi="新宋体" w:eastAsia="新宋体" w:cs="新宋体"/>
                <w:sz w:val="24"/>
                <w:szCs w:val="24"/>
              </w:rPr>
            </w:pPr>
          </w:p>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偏离</w:t>
            </w:r>
          </w:p>
          <w:p>
            <w:pPr>
              <w:pStyle w:val="5"/>
              <w:spacing w:line="400" w:lineRule="atLeast"/>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restart"/>
            <w:tcBorders>
              <w:top w:val="single" w:color="auto" w:sz="4" w:space="0"/>
              <w:left w:val="single" w:color="auto" w:sz="4" w:space="0"/>
              <w:bottom w:val="single" w:color="auto" w:sz="4" w:space="0"/>
              <w:right w:val="single" w:color="auto" w:sz="4" w:space="0"/>
            </w:tcBorders>
            <w:vAlign w:val="center"/>
          </w:tcPr>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技术</w:t>
            </w:r>
          </w:p>
          <w:p>
            <w:pPr>
              <w:pStyle w:val="5"/>
              <w:spacing w:line="400" w:lineRule="atLeast"/>
              <w:jc w:val="center"/>
              <w:rPr>
                <w:rFonts w:hint="eastAsia" w:ascii="新宋体" w:hAnsi="新宋体" w:eastAsia="新宋体" w:cs="新宋体"/>
                <w:sz w:val="24"/>
                <w:szCs w:val="24"/>
              </w:rPr>
            </w:pPr>
          </w:p>
          <w:p>
            <w:pPr>
              <w:pStyle w:val="5"/>
              <w:spacing w:line="400" w:lineRule="atLeast"/>
              <w:jc w:val="center"/>
              <w:rPr>
                <w:rFonts w:hint="eastAsia" w:ascii="新宋体" w:hAnsi="新宋体" w:eastAsia="新宋体" w:cs="新宋体"/>
                <w:sz w:val="24"/>
                <w:szCs w:val="24"/>
              </w:rPr>
            </w:pPr>
          </w:p>
          <w:p>
            <w:pPr>
              <w:pStyle w:val="5"/>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偏离</w:t>
            </w: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vMerge w:val="continue"/>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82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34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c>
          <w:tcPr>
            <w:tcW w:w="1988" w:type="dxa"/>
            <w:tcBorders>
              <w:top w:val="single" w:color="auto" w:sz="4" w:space="0"/>
              <w:left w:val="single" w:color="auto" w:sz="4" w:space="0"/>
              <w:bottom w:val="single" w:color="auto" w:sz="4" w:space="0"/>
              <w:right w:val="single" w:color="auto" w:sz="4" w:space="0"/>
            </w:tcBorders>
            <w:vAlign w:val="top"/>
          </w:tcPr>
          <w:p>
            <w:pPr>
              <w:pStyle w:val="5"/>
              <w:spacing w:line="400" w:lineRule="atLeast"/>
              <w:jc w:val="center"/>
              <w:rPr>
                <w:rFonts w:hint="eastAsia" w:ascii="新宋体" w:hAnsi="新宋体" w:eastAsia="新宋体" w:cs="新宋体"/>
                <w:sz w:val="24"/>
                <w:szCs w:val="24"/>
              </w:rPr>
            </w:pPr>
          </w:p>
        </w:tc>
      </w:tr>
    </w:tbl>
    <w:p>
      <w:pPr>
        <w:pStyle w:val="5"/>
        <w:spacing w:line="400" w:lineRule="atLeast"/>
        <w:jc w:val="center"/>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投标方代表签字：</w:t>
      </w:r>
      <w:r>
        <w:rPr>
          <w:rFonts w:hint="eastAsia" w:ascii="新宋体" w:hAnsi="新宋体" w:eastAsia="新宋体" w:cs="新宋体"/>
        </w:rPr>
        <w:t>______________             日  期:________________</w:t>
      </w:r>
    </w:p>
    <w:p>
      <w:pPr>
        <w:spacing w:line="360" w:lineRule="auto"/>
        <w:rPr>
          <w:rFonts w:hint="eastAsia" w:ascii="新宋体" w:hAnsi="新宋体" w:eastAsia="新宋体" w:cs="新宋体"/>
        </w:rPr>
      </w:pPr>
    </w:p>
    <w:p>
      <w:pPr>
        <w:pStyle w:val="5"/>
        <w:spacing w:line="400" w:lineRule="atLeast"/>
        <w:rPr>
          <w:rFonts w:hint="eastAsia" w:ascii="新宋体" w:hAnsi="新宋体" w:eastAsia="新宋体" w:cs="新宋体"/>
          <w:sz w:val="24"/>
          <w:szCs w:val="24"/>
        </w:rPr>
      </w:pPr>
    </w:p>
    <w:p>
      <w:pPr>
        <w:pStyle w:val="5"/>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说明:</w:t>
      </w:r>
    </w:p>
    <w:p>
      <w:pPr>
        <w:pStyle w:val="5"/>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1，投标方应根据第三章招标项目清单及要求中的各项内容，进行逐条分析，只需对有偏离的内容进行填写；如果本表没有列明的内容视同与招标文件相一致；如果全都没有偏离，则须在投标文件中提供空白表格。</w:t>
      </w:r>
    </w:p>
    <w:p>
      <w:pPr>
        <w:pStyle w:val="5"/>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2，此表在不改变格式的情况下可自行制作。</w:t>
      </w:r>
    </w:p>
    <w:p>
      <w:pPr>
        <w:pStyle w:val="5"/>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3，此表置于技术标书中。</w:t>
      </w:r>
    </w:p>
    <w:p>
      <w:pPr>
        <w:spacing w:line="400" w:lineRule="exact"/>
        <w:rPr>
          <w:rFonts w:hint="eastAsia" w:ascii="新宋体" w:hAnsi="新宋体" w:eastAsia="新宋体" w:cs="新宋体"/>
          <w:bCs/>
          <w:color w:val="000000"/>
          <w:sz w:val="30"/>
        </w:rPr>
      </w:pPr>
    </w:p>
    <w:p>
      <w:pPr>
        <w:spacing w:line="400" w:lineRule="exact"/>
        <w:rPr>
          <w:rFonts w:hint="eastAsia" w:ascii="新宋体" w:hAnsi="新宋体" w:eastAsia="新宋体" w:cs="新宋体"/>
          <w:bCs/>
          <w:color w:val="000000"/>
          <w:sz w:val="30"/>
        </w:rPr>
      </w:pPr>
    </w:p>
    <w:p>
      <w:pPr>
        <w:pStyle w:val="5"/>
        <w:spacing w:line="360" w:lineRule="auto"/>
        <w:rPr>
          <w:rFonts w:hint="eastAsia" w:ascii="新宋体" w:hAnsi="新宋体" w:eastAsia="新宋体" w:cs="新宋体"/>
          <w:bCs/>
          <w:color w:val="000000"/>
          <w:sz w:val="30"/>
          <w:szCs w:val="30"/>
        </w:rPr>
      </w:pPr>
      <w:r>
        <w:rPr>
          <w:rFonts w:hint="eastAsia" w:ascii="新宋体" w:hAnsi="新宋体" w:eastAsia="新宋体" w:cs="新宋体"/>
          <w:bCs/>
          <w:color w:val="000000"/>
          <w:sz w:val="30"/>
          <w:szCs w:val="30"/>
        </w:rPr>
        <w:br w:type="page"/>
      </w:r>
      <w:r>
        <w:rPr>
          <w:rFonts w:hint="eastAsia" w:ascii="新宋体" w:hAnsi="新宋体" w:eastAsia="新宋体" w:cs="新宋体"/>
          <w:bCs/>
          <w:color w:val="000000"/>
          <w:sz w:val="30"/>
          <w:szCs w:val="30"/>
        </w:rPr>
        <w:t>附件5：</w:t>
      </w:r>
    </w:p>
    <w:p>
      <w:pPr>
        <w:jc w:val="center"/>
        <w:rPr>
          <w:rFonts w:hint="eastAsia" w:ascii="新宋体" w:hAnsi="新宋体" w:eastAsia="新宋体" w:cs="新宋体"/>
          <w:b/>
          <w:bCs/>
          <w:color w:val="000000"/>
          <w:sz w:val="36"/>
        </w:rPr>
      </w:pPr>
      <w:r>
        <w:rPr>
          <w:rFonts w:hint="eastAsia" w:ascii="新宋体" w:hAnsi="新宋体" w:eastAsia="新宋体" w:cs="新宋体"/>
          <w:b/>
          <w:bCs/>
          <w:color w:val="000000"/>
          <w:sz w:val="36"/>
        </w:rPr>
        <w:t>货物简要说明一览表</w:t>
      </w:r>
    </w:p>
    <w:p>
      <w:pPr>
        <w:spacing w:before="156" w:beforeLines="50" w:after="156" w:afterLines="50"/>
        <w:jc w:val="center"/>
        <w:rPr>
          <w:rFonts w:hint="eastAsia" w:ascii="新宋体" w:hAnsi="新宋体" w:eastAsia="新宋体" w:cs="新宋体"/>
          <w:color w:val="000000"/>
          <w:sz w:val="24"/>
        </w:rPr>
      </w:pPr>
    </w:p>
    <w:p>
      <w:pPr>
        <w:spacing w:before="156" w:beforeLines="50" w:after="156" w:afterLines="50"/>
        <w:rPr>
          <w:rFonts w:hint="eastAsia" w:ascii="新宋体" w:hAnsi="新宋体" w:eastAsia="新宋体" w:cs="新宋体"/>
          <w:color w:val="000000"/>
          <w:sz w:val="24"/>
        </w:rPr>
      </w:pPr>
      <w:r>
        <w:rPr>
          <w:rFonts w:hint="eastAsia" w:ascii="新宋体" w:hAnsi="新宋体" w:eastAsia="新宋体" w:cs="新宋体"/>
          <w:color w:val="000000"/>
          <w:sz w:val="24"/>
        </w:rPr>
        <w:t>投标方名称（盖章）：__________________</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 xml:space="preserve">_    </w:t>
      </w:r>
      <w:r>
        <w:rPr>
          <w:rFonts w:hint="eastAsia" w:ascii="新宋体" w:hAnsi="新宋体" w:eastAsia="新宋体" w:cs="新宋体"/>
          <w:bCs/>
          <w:color w:val="000000"/>
          <w:sz w:val="24"/>
        </w:rPr>
        <w:t>采购</w:t>
      </w:r>
      <w:r>
        <w:rPr>
          <w:rFonts w:hint="eastAsia" w:ascii="新宋体" w:hAnsi="新宋体" w:eastAsia="新宋体" w:cs="新宋体"/>
          <w:color w:val="000000"/>
          <w:sz w:val="24"/>
        </w:rPr>
        <w:t>编号：_____________</w:t>
      </w:r>
    </w:p>
    <w:p>
      <w:pPr>
        <w:pStyle w:val="5"/>
        <w:spacing w:line="400" w:lineRule="atLeast"/>
        <w:rPr>
          <w:rFonts w:hint="eastAsia" w:ascii="新宋体" w:hAnsi="新宋体" w:eastAsia="新宋体" w:cs="新宋体"/>
          <w:color w:val="000000"/>
          <w:sz w:val="24"/>
        </w:rPr>
      </w:pPr>
    </w:p>
    <w:tbl>
      <w:tblPr>
        <w:tblStyle w:val="12"/>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51"/>
        <w:gridCol w:w="1092"/>
        <w:gridCol w:w="826"/>
        <w:gridCol w:w="2905"/>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序号</w:t>
            </w:r>
          </w:p>
        </w:tc>
        <w:tc>
          <w:tcPr>
            <w:tcW w:w="1251"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设备名称</w:t>
            </w:r>
          </w:p>
        </w:tc>
        <w:tc>
          <w:tcPr>
            <w:tcW w:w="1092"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数量</w:t>
            </w:r>
          </w:p>
        </w:tc>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产地</w:t>
            </w:r>
          </w:p>
        </w:tc>
        <w:tc>
          <w:tcPr>
            <w:tcW w:w="2905"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品牌型号</w:t>
            </w:r>
          </w:p>
        </w:tc>
        <w:tc>
          <w:tcPr>
            <w:tcW w:w="2965"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规格及主要技术参数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1</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2</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3</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4</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5</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6</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7</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8</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9</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26" w:type="dxa"/>
            <w:vAlign w:val="center"/>
          </w:tcPr>
          <w:p>
            <w:pPr>
              <w:spacing w:line="380" w:lineRule="exact"/>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10</w:t>
            </w:r>
          </w:p>
        </w:tc>
        <w:tc>
          <w:tcPr>
            <w:tcW w:w="1251" w:type="dxa"/>
            <w:vAlign w:val="center"/>
          </w:tcPr>
          <w:p>
            <w:pPr>
              <w:spacing w:line="380" w:lineRule="exact"/>
              <w:jc w:val="center"/>
              <w:rPr>
                <w:rFonts w:hint="eastAsia" w:ascii="新宋体" w:hAnsi="新宋体" w:eastAsia="新宋体" w:cs="新宋体"/>
                <w:color w:val="000000"/>
                <w:szCs w:val="21"/>
              </w:rPr>
            </w:pPr>
          </w:p>
        </w:tc>
        <w:tc>
          <w:tcPr>
            <w:tcW w:w="1092" w:type="dxa"/>
            <w:vAlign w:val="center"/>
          </w:tcPr>
          <w:p>
            <w:pPr>
              <w:spacing w:line="380" w:lineRule="exact"/>
              <w:jc w:val="center"/>
              <w:rPr>
                <w:rFonts w:hint="eastAsia" w:ascii="新宋体" w:hAnsi="新宋体" w:eastAsia="新宋体" w:cs="新宋体"/>
                <w:color w:val="000000"/>
                <w:szCs w:val="21"/>
              </w:rPr>
            </w:pPr>
          </w:p>
        </w:tc>
        <w:tc>
          <w:tcPr>
            <w:tcW w:w="826" w:type="dxa"/>
            <w:vAlign w:val="center"/>
          </w:tcPr>
          <w:p>
            <w:pPr>
              <w:spacing w:line="380" w:lineRule="exact"/>
              <w:jc w:val="center"/>
              <w:rPr>
                <w:rFonts w:hint="eastAsia" w:ascii="新宋体" w:hAnsi="新宋体" w:eastAsia="新宋体" w:cs="新宋体"/>
                <w:color w:val="000000"/>
                <w:szCs w:val="21"/>
              </w:rPr>
            </w:pPr>
          </w:p>
        </w:tc>
        <w:tc>
          <w:tcPr>
            <w:tcW w:w="2905" w:type="dxa"/>
            <w:vAlign w:val="center"/>
          </w:tcPr>
          <w:p>
            <w:pPr>
              <w:spacing w:line="380" w:lineRule="exact"/>
              <w:jc w:val="center"/>
              <w:rPr>
                <w:rFonts w:hint="eastAsia" w:ascii="新宋体" w:hAnsi="新宋体" w:eastAsia="新宋体" w:cs="新宋体"/>
                <w:color w:val="000000"/>
                <w:szCs w:val="21"/>
              </w:rPr>
            </w:pPr>
          </w:p>
        </w:tc>
        <w:tc>
          <w:tcPr>
            <w:tcW w:w="2965" w:type="dxa"/>
            <w:vAlign w:val="center"/>
          </w:tcPr>
          <w:p>
            <w:pPr>
              <w:spacing w:line="380" w:lineRule="exact"/>
              <w:jc w:val="center"/>
              <w:rPr>
                <w:rFonts w:hint="eastAsia" w:ascii="新宋体" w:hAnsi="新宋体" w:eastAsia="新宋体" w:cs="新宋体"/>
                <w:color w:val="000000"/>
                <w:szCs w:val="21"/>
              </w:rPr>
            </w:pPr>
          </w:p>
        </w:tc>
      </w:tr>
    </w:tbl>
    <w:p>
      <w:pPr>
        <w:pStyle w:val="5"/>
        <w:spacing w:line="400" w:lineRule="atLeast"/>
        <w:rPr>
          <w:rFonts w:hint="eastAsia" w:ascii="新宋体" w:hAnsi="新宋体" w:eastAsia="新宋体" w:cs="新宋体"/>
          <w:color w:val="000000"/>
          <w:sz w:val="24"/>
        </w:rPr>
      </w:pPr>
    </w:p>
    <w:p>
      <w:pPr>
        <w:pStyle w:val="5"/>
        <w:spacing w:line="400" w:lineRule="atLeast"/>
        <w:rPr>
          <w:rFonts w:hint="eastAsia" w:ascii="新宋体" w:hAnsi="新宋体" w:eastAsia="新宋体" w:cs="新宋体"/>
          <w:color w:val="000000"/>
          <w:sz w:val="24"/>
        </w:rPr>
      </w:pPr>
      <w:r>
        <w:rPr>
          <w:rFonts w:hint="eastAsia" w:ascii="新宋体" w:hAnsi="新宋体" w:eastAsia="新宋体" w:cs="新宋体"/>
          <w:color w:val="000000"/>
          <w:sz w:val="24"/>
        </w:rPr>
        <w:t>投标方代表签字：____________________        职  务:____________</w:t>
      </w: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日  期:________________</w:t>
      </w:r>
    </w:p>
    <w:p>
      <w:pPr>
        <w:ind w:firstLine="240" w:firstLineChars="100"/>
        <w:rPr>
          <w:rFonts w:hint="eastAsia" w:ascii="新宋体" w:hAnsi="新宋体" w:eastAsia="新宋体" w:cs="新宋体"/>
          <w:color w:val="000000"/>
          <w:sz w:val="24"/>
        </w:rPr>
      </w:pPr>
    </w:p>
    <w:p>
      <w:pPr>
        <w:rPr>
          <w:rFonts w:hint="eastAsia" w:ascii="新宋体" w:hAnsi="新宋体" w:eastAsia="新宋体" w:cs="新宋体"/>
          <w:color w:val="000000"/>
          <w:sz w:val="24"/>
        </w:rPr>
      </w:pPr>
      <w:r>
        <w:rPr>
          <w:rFonts w:hint="eastAsia" w:ascii="新宋体" w:hAnsi="新宋体" w:eastAsia="新宋体" w:cs="新宋体"/>
          <w:color w:val="000000"/>
          <w:sz w:val="24"/>
        </w:rPr>
        <w:t>所有招标货物（包含采购主件、配件、辅件、工具等）都必须填写。</w:t>
      </w:r>
    </w:p>
    <w:p>
      <w:pPr>
        <w:rPr>
          <w:rFonts w:hint="eastAsia" w:ascii="新宋体" w:hAnsi="新宋体" w:eastAsia="新宋体" w:cs="新宋体"/>
          <w:color w:val="000000"/>
          <w:sz w:val="24"/>
        </w:rPr>
      </w:pPr>
      <w:r>
        <w:rPr>
          <w:rFonts w:hint="eastAsia" w:ascii="新宋体" w:hAnsi="新宋体" w:eastAsia="新宋体" w:cs="新宋体"/>
          <w:color w:val="000000"/>
          <w:sz w:val="24"/>
        </w:rPr>
        <w:t>此表可在不改变格式的情况下自行制作。</w:t>
      </w:r>
    </w:p>
    <w:p>
      <w:pPr>
        <w:rPr>
          <w:rFonts w:hint="eastAsia" w:ascii="新宋体" w:hAnsi="新宋体" w:eastAsia="新宋体" w:cs="新宋体"/>
          <w:color w:val="000000"/>
          <w:sz w:val="24"/>
        </w:rPr>
      </w:pPr>
      <w:r>
        <w:rPr>
          <w:rFonts w:hint="eastAsia" w:ascii="新宋体" w:hAnsi="新宋体" w:eastAsia="新宋体" w:cs="新宋体"/>
          <w:color w:val="000000"/>
          <w:sz w:val="24"/>
        </w:rPr>
        <w:t>该表须详细填写，置于技术标中，用于技术评审。</w:t>
      </w:r>
    </w:p>
    <w:p>
      <w:pPr>
        <w:rPr>
          <w:rFonts w:hint="eastAsia" w:ascii="新宋体" w:hAnsi="新宋体" w:eastAsia="新宋体" w:cs="新宋体"/>
          <w:color w:val="000000"/>
          <w:sz w:val="24"/>
        </w:rPr>
      </w:pPr>
    </w:p>
    <w:p>
      <w:pPr>
        <w:rPr>
          <w:rFonts w:hint="eastAsia" w:ascii="新宋体" w:hAnsi="新宋体" w:eastAsia="新宋体" w:cs="新宋体"/>
          <w:color w:val="000000"/>
          <w:sz w:val="24"/>
        </w:rPr>
      </w:pPr>
    </w:p>
    <w:p>
      <w:pPr>
        <w:rPr>
          <w:rFonts w:hint="eastAsia" w:ascii="新宋体" w:hAnsi="新宋体" w:eastAsia="新宋体" w:cs="新宋体"/>
          <w:bCs/>
          <w:color w:val="000000"/>
          <w:sz w:val="30"/>
          <w:szCs w:val="30"/>
        </w:rPr>
      </w:pPr>
      <w:r>
        <w:rPr>
          <w:rFonts w:hint="eastAsia" w:ascii="新宋体" w:hAnsi="新宋体" w:eastAsia="新宋体" w:cs="新宋体"/>
          <w:bCs/>
          <w:color w:val="000000"/>
          <w:sz w:val="30"/>
          <w:szCs w:val="30"/>
        </w:rPr>
        <w:br w:type="page"/>
      </w:r>
      <w:r>
        <w:rPr>
          <w:rFonts w:hint="eastAsia" w:ascii="新宋体" w:hAnsi="新宋体" w:eastAsia="新宋体" w:cs="新宋体"/>
          <w:bCs/>
          <w:color w:val="000000"/>
          <w:sz w:val="30"/>
          <w:szCs w:val="30"/>
        </w:rPr>
        <w:t>附件6：</w:t>
      </w:r>
    </w:p>
    <w:p>
      <w:pPr>
        <w:spacing w:line="480" w:lineRule="auto"/>
        <w:jc w:val="center"/>
        <w:rPr>
          <w:rFonts w:hint="eastAsia" w:ascii="新宋体" w:hAnsi="新宋体" w:eastAsia="新宋体" w:cs="新宋体"/>
          <w:b/>
          <w:bCs/>
          <w:color w:val="000000"/>
          <w:sz w:val="36"/>
        </w:rPr>
      </w:pPr>
      <w:r>
        <w:rPr>
          <w:rFonts w:hint="eastAsia" w:ascii="新宋体" w:hAnsi="新宋体" w:eastAsia="新宋体" w:cs="新宋体"/>
          <w:b/>
          <w:bCs/>
          <w:color w:val="000000"/>
          <w:sz w:val="36"/>
        </w:rPr>
        <w:t>法定代表人授权书</w:t>
      </w:r>
    </w:p>
    <w:p>
      <w:pPr>
        <w:pStyle w:val="3"/>
        <w:rPr>
          <w:rFonts w:hint="eastAsia" w:ascii="新宋体" w:hAnsi="新宋体" w:eastAsia="新宋体" w:cs="新宋体"/>
          <w:color w:val="000000"/>
          <w:sz w:val="21"/>
        </w:rPr>
      </w:pPr>
    </w:p>
    <w:p>
      <w:pPr>
        <w:pStyle w:val="14"/>
        <w:autoSpaceDE/>
        <w:autoSpaceDN/>
        <w:snapToGrid/>
        <w:spacing w:before="0" w:after="0"/>
        <w:rPr>
          <w:rFonts w:hint="eastAsia" w:ascii="新宋体" w:hAnsi="新宋体" w:eastAsia="新宋体" w:cs="新宋体"/>
          <w:color w:val="000000"/>
          <w:szCs w:val="24"/>
        </w:rPr>
      </w:pPr>
      <w:r>
        <w:rPr>
          <w:rFonts w:hint="eastAsia" w:ascii="新宋体" w:hAnsi="新宋体" w:eastAsia="新宋体" w:cs="新宋体"/>
          <w:color w:val="000000"/>
          <w:szCs w:val="24"/>
        </w:rPr>
        <w:t>本授权书声明：</w:t>
      </w:r>
    </w:p>
    <w:p>
      <w:pPr>
        <w:spacing w:line="360" w:lineRule="auto"/>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注册于＿＿＿＿＿＿＿＿的＿＿＿＿＿＿公司的在下面签字的＿＿＿＿＿＿＿＿ (法定代表人姓名、职务)代表本公司授权＿＿＿＿＿＿＿＿（单位）的在下面签字的＿＿＿＿＿＿＿＿＿＿ （被授权人的姓名、职务）为本公司的合法代理人，就＿＿＿＿＿＿＿＿（采购编号：＿＿＿＿＿＿＿＿）项目的投标及合同的执行完成和保修，以本公司名义处理一切与之有关的事务。</w:t>
      </w:r>
    </w:p>
    <w:p>
      <w:pPr>
        <w:spacing w:line="360" w:lineRule="auto"/>
        <w:rPr>
          <w:rFonts w:hint="eastAsia" w:ascii="新宋体" w:hAnsi="新宋体" w:eastAsia="新宋体" w:cs="新宋体"/>
          <w:b/>
          <w:color w:val="000000"/>
          <w:sz w:val="24"/>
        </w:rPr>
      </w:pPr>
    </w:p>
    <w:p>
      <w:pPr>
        <w:spacing w:line="360" w:lineRule="auto"/>
        <w:rPr>
          <w:rFonts w:hint="eastAsia" w:ascii="新宋体" w:hAnsi="新宋体" w:eastAsia="新宋体" w:cs="新宋体"/>
          <w:b/>
          <w:color w:val="000000"/>
        </w:rPr>
      </w:pPr>
      <w:r>
        <w:rPr>
          <w:rFonts w:hint="eastAsia" w:ascii="新宋体" w:hAnsi="新宋体" w:eastAsia="新宋体" w:cs="新宋体"/>
          <w:b/>
          <w:color w:val="000000"/>
          <w:sz w:val="24"/>
        </w:rPr>
        <w:t>被授权人身份证复印件：</w:t>
      </w: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rPr>
        <w:t xml:space="preserve">            </w:t>
      </w:r>
      <w:r>
        <w:rPr>
          <w:rFonts w:hint="eastAsia" w:ascii="新宋体" w:hAnsi="新宋体" w:eastAsia="新宋体" w:cs="新宋体"/>
          <w:color w:val="000000"/>
          <w:sz w:val="24"/>
        </w:rPr>
        <w:t>法定代表人签字盖章：＿＿＿＿＿＿＿＿</w:t>
      </w: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 xml:space="preserve">  授权代表（被授权人）签字盖章：＿＿＿＿＿＿＿＿</w:t>
      </w:r>
    </w:p>
    <w:p>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 xml:space="preserve">                      单位名称：＿＿＿＿＿＿＿＿ </w:t>
      </w:r>
    </w:p>
    <w:p>
      <w:pPr>
        <w:spacing w:line="360" w:lineRule="auto"/>
        <w:rPr>
          <w:rFonts w:hint="eastAsia" w:ascii="新宋体" w:hAnsi="新宋体" w:eastAsia="新宋体" w:cs="新宋体"/>
          <w:color w:val="000000"/>
        </w:rPr>
      </w:pPr>
      <w:r>
        <w:rPr>
          <w:rFonts w:hint="eastAsia" w:ascii="新宋体" w:hAnsi="新宋体" w:eastAsia="新宋体" w:cs="新宋体"/>
          <w:color w:val="000000"/>
          <w:sz w:val="24"/>
        </w:rPr>
        <w:t xml:space="preserve">                          地址：＿＿＿＿＿＿＿＿</w:t>
      </w: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spacing w:line="360" w:lineRule="auto"/>
        <w:rPr>
          <w:rFonts w:hint="eastAsia" w:ascii="新宋体" w:hAnsi="新宋体" w:eastAsia="新宋体" w:cs="新宋体"/>
          <w:color w:val="000000"/>
        </w:rPr>
      </w:pPr>
    </w:p>
    <w:p>
      <w:pPr>
        <w:rPr>
          <w:rFonts w:hint="eastAsia" w:ascii="新宋体" w:hAnsi="新宋体" w:eastAsia="新宋体" w:cs="新宋体"/>
          <w:bCs/>
          <w:color w:val="000000"/>
          <w:sz w:val="30"/>
          <w:szCs w:val="30"/>
        </w:rPr>
      </w:pPr>
      <w:r>
        <w:rPr>
          <w:rFonts w:hint="eastAsia" w:ascii="新宋体" w:hAnsi="新宋体" w:eastAsia="新宋体" w:cs="新宋体"/>
          <w:bCs/>
          <w:color w:val="000000"/>
          <w:sz w:val="30"/>
          <w:szCs w:val="30"/>
        </w:rPr>
        <w:br w:type="page"/>
      </w:r>
      <w:r>
        <w:rPr>
          <w:rFonts w:hint="eastAsia" w:ascii="新宋体" w:hAnsi="新宋体" w:eastAsia="新宋体" w:cs="新宋体"/>
          <w:bCs/>
          <w:color w:val="000000"/>
          <w:sz w:val="30"/>
          <w:szCs w:val="30"/>
        </w:rPr>
        <w:t>附件7：</w:t>
      </w:r>
    </w:p>
    <w:p>
      <w:pPr>
        <w:pStyle w:val="5"/>
        <w:spacing w:line="360" w:lineRule="auto"/>
        <w:jc w:val="center"/>
        <w:rPr>
          <w:rFonts w:hint="eastAsia" w:ascii="新宋体" w:hAnsi="新宋体" w:eastAsia="新宋体" w:cs="新宋体"/>
          <w:b/>
          <w:bCs/>
          <w:color w:val="000000"/>
          <w:sz w:val="48"/>
        </w:rPr>
      </w:pPr>
      <w:r>
        <w:rPr>
          <w:rFonts w:hint="eastAsia" w:ascii="新宋体" w:hAnsi="新宋体" w:eastAsia="新宋体" w:cs="新宋体"/>
          <w:b/>
          <w:bCs/>
          <w:color w:val="000000"/>
          <w:sz w:val="48"/>
        </w:rPr>
        <w:t>开   标   一    览    表</w:t>
      </w:r>
    </w:p>
    <w:p>
      <w:pPr>
        <w:pStyle w:val="5"/>
        <w:spacing w:line="360" w:lineRule="auto"/>
        <w:jc w:val="center"/>
        <w:rPr>
          <w:rFonts w:hint="eastAsia" w:ascii="新宋体" w:hAnsi="新宋体" w:eastAsia="新宋体" w:cs="新宋体"/>
          <w:color w:val="000000"/>
          <w:sz w:val="24"/>
          <w:szCs w:val="24"/>
        </w:rPr>
      </w:pPr>
    </w:p>
    <w:p>
      <w:pPr>
        <w:pStyle w:val="5"/>
        <w:spacing w:before="312" w:beforeLines="100" w:after="312" w:afterLines="100" w:line="360" w:lineRule="auto"/>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投标方名称（盖章）：____________________________  日  期:________________</w:t>
      </w:r>
    </w:p>
    <w:tbl>
      <w:tblPr>
        <w:tblStyle w:val="12"/>
        <w:tblW w:w="10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081"/>
        <w:gridCol w:w="1681"/>
        <w:gridCol w:w="887"/>
        <w:gridCol w:w="1341"/>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059" w:type="dxa"/>
            <w:vAlign w:val="center"/>
          </w:tcPr>
          <w:p>
            <w:pPr>
              <w:spacing w:line="360" w:lineRule="exact"/>
              <w:jc w:val="center"/>
              <w:rPr>
                <w:rFonts w:hint="eastAsia" w:ascii="新宋体" w:hAnsi="新宋体" w:eastAsia="新宋体" w:cs="新宋体"/>
                <w:b/>
                <w:color w:val="000000"/>
                <w:sz w:val="24"/>
                <w:szCs w:val="21"/>
              </w:rPr>
            </w:pPr>
            <w:r>
              <w:rPr>
                <w:rFonts w:hint="eastAsia" w:ascii="新宋体" w:hAnsi="新宋体" w:eastAsia="新宋体" w:cs="新宋体"/>
                <w:b/>
                <w:color w:val="000000"/>
                <w:sz w:val="24"/>
                <w:szCs w:val="21"/>
              </w:rPr>
              <w:t>序号</w:t>
            </w:r>
          </w:p>
        </w:tc>
        <w:tc>
          <w:tcPr>
            <w:tcW w:w="2081" w:type="dxa"/>
            <w:vAlign w:val="center"/>
          </w:tcPr>
          <w:p>
            <w:pPr>
              <w:spacing w:line="360" w:lineRule="exact"/>
              <w:jc w:val="center"/>
              <w:rPr>
                <w:rFonts w:hint="eastAsia" w:ascii="新宋体" w:hAnsi="新宋体" w:eastAsia="新宋体" w:cs="新宋体"/>
                <w:b/>
                <w:color w:val="000000"/>
                <w:sz w:val="24"/>
                <w:szCs w:val="21"/>
              </w:rPr>
            </w:pPr>
            <w:r>
              <w:rPr>
                <w:rFonts w:hint="eastAsia" w:ascii="新宋体" w:hAnsi="新宋体" w:eastAsia="新宋体" w:cs="新宋体"/>
                <w:b/>
                <w:color w:val="000000"/>
                <w:sz w:val="24"/>
                <w:szCs w:val="21"/>
              </w:rPr>
              <w:t>货物名称</w:t>
            </w:r>
          </w:p>
        </w:tc>
        <w:tc>
          <w:tcPr>
            <w:tcW w:w="1681" w:type="dxa"/>
            <w:vAlign w:val="center"/>
          </w:tcPr>
          <w:p>
            <w:pPr>
              <w:spacing w:line="360" w:lineRule="exact"/>
              <w:jc w:val="center"/>
              <w:rPr>
                <w:rFonts w:hint="eastAsia" w:ascii="新宋体" w:hAnsi="新宋体" w:eastAsia="新宋体" w:cs="新宋体"/>
                <w:b/>
                <w:sz w:val="24"/>
                <w:szCs w:val="21"/>
              </w:rPr>
            </w:pPr>
            <w:r>
              <w:rPr>
                <w:rFonts w:hint="eastAsia" w:ascii="新宋体" w:hAnsi="新宋体" w:eastAsia="新宋体" w:cs="新宋体"/>
                <w:b/>
                <w:bCs/>
                <w:color w:val="000000"/>
                <w:sz w:val="24"/>
              </w:rPr>
              <w:t>产地</w:t>
            </w:r>
            <w:r>
              <w:rPr>
                <w:rFonts w:hint="eastAsia" w:ascii="新宋体" w:hAnsi="新宋体" w:eastAsia="新宋体" w:cs="新宋体"/>
                <w:b/>
                <w:sz w:val="24"/>
                <w:szCs w:val="21"/>
              </w:rPr>
              <w:t>规格型号</w:t>
            </w:r>
          </w:p>
        </w:tc>
        <w:tc>
          <w:tcPr>
            <w:tcW w:w="887" w:type="dxa"/>
            <w:vAlign w:val="center"/>
          </w:tcPr>
          <w:p>
            <w:pPr>
              <w:spacing w:line="360" w:lineRule="exact"/>
              <w:jc w:val="center"/>
              <w:rPr>
                <w:rFonts w:hint="eastAsia" w:ascii="新宋体" w:hAnsi="新宋体" w:eastAsia="新宋体" w:cs="新宋体"/>
                <w:b/>
                <w:color w:val="000000"/>
                <w:sz w:val="24"/>
                <w:szCs w:val="21"/>
              </w:rPr>
            </w:pPr>
            <w:r>
              <w:rPr>
                <w:rFonts w:hint="eastAsia" w:ascii="新宋体" w:hAnsi="新宋体" w:eastAsia="新宋体" w:cs="新宋体"/>
                <w:b/>
                <w:color w:val="000000"/>
                <w:sz w:val="24"/>
                <w:szCs w:val="21"/>
              </w:rPr>
              <w:t>数量</w:t>
            </w:r>
          </w:p>
        </w:tc>
        <w:tc>
          <w:tcPr>
            <w:tcW w:w="1341" w:type="dxa"/>
            <w:vAlign w:val="center"/>
          </w:tcPr>
          <w:p>
            <w:pPr>
              <w:spacing w:line="360" w:lineRule="exact"/>
              <w:jc w:val="center"/>
              <w:rPr>
                <w:rFonts w:hint="eastAsia" w:ascii="新宋体" w:hAnsi="新宋体" w:eastAsia="新宋体" w:cs="新宋体"/>
                <w:b/>
                <w:color w:val="000000"/>
                <w:sz w:val="24"/>
                <w:szCs w:val="21"/>
              </w:rPr>
            </w:pPr>
            <w:r>
              <w:rPr>
                <w:rFonts w:hint="eastAsia" w:ascii="新宋体" w:hAnsi="新宋体" w:eastAsia="新宋体" w:cs="新宋体"/>
                <w:b/>
                <w:color w:val="000000"/>
                <w:sz w:val="24"/>
                <w:szCs w:val="21"/>
              </w:rPr>
              <w:t>单价</w:t>
            </w:r>
          </w:p>
        </w:tc>
        <w:tc>
          <w:tcPr>
            <w:tcW w:w="2975" w:type="dxa"/>
            <w:vAlign w:val="center"/>
          </w:tcPr>
          <w:p>
            <w:pPr>
              <w:spacing w:line="360" w:lineRule="exact"/>
              <w:jc w:val="center"/>
              <w:rPr>
                <w:rFonts w:hint="eastAsia" w:ascii="新宋体" w:hAnsi="新宋体" w:eastAsia="新宋体" w:cs="新宋体"/>
                <w:b/>
                <w:color w:val="000000"/>
                <w:sz w:val="24"/>
                <w:szCs w:val="21"/>
              </w:rPr>
            </w:pPr>
            <w:r>
              <w:rPr>
                <w:rFonts w:hint="eastAsia" w:ascii="新宋体" w:hAnsi="新宋体" w:eastAsia="新宋体" w:cs="新宋体"/>
                <w:b/>
                <w:color w:val="000000"/>
                <w:sz w:val="24"/>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1059" w:type="dxa"/>
            <w:vAlign w:val="center"/>
          </w:tcPr>
          <w:p>
            <w:pPr>
              <w:spacing w:line="400" w:lineRule="exact"/>
              <w:jc w:val="center"/>
              <w:rPr>
                <w:rFonts w:hint="eastAsia" w:ascii="新宋体" w:hAnsi="新宋体" w:eastAsia="新宋体" w:cs="新宋体"/>
                <w:color w:val="000000"/>
                <w:sz w:val="24"/>
                <w:szCs w:val="21"/>
              </w:rPr>
            </w:pPr>
            <w:r>
              <w:rPr>
                <w:rFonts w:hint="eastAsia" w:ascii="新宋体" w:hAnsi="新宋体" w:eastAsia="新宋体" w:cs="新宋体"/>
                <w:color w:val="000000"/>
                <w:sz w:val="24"/>
                <w:szCs w:val="21"/>
              </w:rPr>
              <w:t>1</w:t>
            </w:r>
          </w:p>
        </w:tc>
        <w:tc>
          <w:tcPr>
            <w:tcW w:w="2081" w:type="dxa"/>
            <w:vAlign w:val="center"/>
          </w:tcPr>
          <w:p>
            <w:pPr>
              <w:widowControl/>
              <w:spacing w:line="400" w:lineRule="exact"/>
              <w:jc w:val="center"/>
              <w:rPr>
                <w:rFonts w:hint="eastAsia" w:ascii="新宋体" w:hAnsi="新宋体" w:eastAsia="新宋体" w:cs="新宋体"/>
                <w:color w:val="000000"/>
                <w:kern w:val="0"/>
                <w:sz w:val="24"/>
                <w:szCs w:val="21"/>
              </w:rPr>
            </w:pPr>
          </w:p>
        </w:tc>
        <w:tc>
          <w:tcPr>
            <w:tcW w:w="1681" w:type="dxa"/>
            <w:vAlign w:val="center"/>
          </w:tcPr>
          <w:p>
            <w:pPr>
              <w:widowControl/>
              <w:spacing w:line="400" w:lineRule="exact"/>
              <w:jc w:val="center"/>
              <w:rPr>
                <w:rFonts w:hint="eastAsia" w:ascii="新宋体" w:hAnsi="新宋体" w:eastAsia="新宋体" w:cs="新宋体"/>
                <w:color w:val="000000"/>
                <w:kern w:val="0"/>
                <w:sz w:val="24"/>
                <w:szCs w:val="21"/>
              </w:rPr>
            </w:pPr>
          </w:p>
        </w:tc>
        <w:tc>
          <w:tcPr>
            <w:tcW w:w="887" w:type="dxa"/>
            <w:vAlign w:val="center"/>
          </w:tcPr>
          <w:p>
            <w:pPr>
              <w:spacing w:line="400" w:lineRule="exact"/>
              <w:ind w:firstLine="480" w:firstLineChars="200"/>
              <w:jc w:val="center"/>
              <w:rPr>
                <w:rFonts w:hint="eastAsia" w:ascii="新宋体" w:hAnsi="新宋体" w:eastAsia="新宋体" w:cs="新宋体"/>
                <w:color w:val="000000"/>
                <w:sz w:val="24"/>
                <w:szCs w:val="21"/>
              </w:rPr>
            </w:pPr>
          </w:p>
        </w:tc>
        <w:tc>
          <w:tcPr>
            <w:tcW w:w="1341" w:type="dxa"/>
            <w:vAlign w:val="center"/>
          </w:tcPr>
          <w:p>
            <w:pPr>
              <w:spacing w:line="400" w:lineRule="exact"/>
              <w:ind w:firstLine="480" w:firstLineChars="200"/>
              <w:jc w:val="center"/>
              <w:rPr>
                <w:rFonts w:hint="eastAsia" w:ascii="新宋体" w:hAnsi="新宋体" w:eastAsia="新宋体" w:cs="新宋体"/>
                <w:color w:val="000000"/>
                <w:sz w:val="24"/>
                <w:szCs w:val="21"/>
              </w:rPr>
            </w:pPr>
          </w:p>
        </w:tc>
        <w:tc>
          <w:tcPr>
            <w:tcW w:w="2975" w:type="dxa"/>
            <w:vAlign w:val="center"/>
          </w:tcPr>
          <w:p>
            <w:pPr>
              <w:spacing w:line="400" w:lineRule="exact"/>
              <w:ind w:firstLine="480" w:firstLineChars="200"/>
              <w:jc w:val="center"/>
              <w:rPr>
                <w:rFonts w:hint="eastAsia" w:ascii="新宋体" w:hAnsi="新宋体" w:eastAsia="新宋体" w:cs="新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1059" w:type="dxa"/>
            <w:vAlign w:val="center"/>
          </w:tcPr>
          <w:p>
            <w:pPr>
              <w:spacing w:line="400" w:lineRule="exact"/>
              <w:jc w:val="center"/>
              <w:rPr>
                <w:rFonts w:hint="eastAsia" w:ascii="新宋体" w:hAnsi="新宋体" w:eastAsia="新宋体" w:cs="新宋体"/>
                <w:color w:val="000000"/>
                <w:sz w:val="24"/>
                <w:szCs w:val="21"/>
              </w:rPr>
            </w:pPr>
            <w:r>
              <w:rPr>
                <w:rFonts w:hint="eastAsia" w:ascii="新宋体" w:hAnsi="新宋体" w:eastAsia="新宋体" w:cs="新宋体"/>
                <w:color w:val="000000"/>
                <w:sz w:val="24"/>
                <w:szCs w:val="21"/>
              </w:rPr>
              <w:t>2</w:t>
            </w:r>
          </w:p>
        </w:tc>
        <w:tc>
          <w:tcPr>
            <w:tcW w:w="2081" w:type="dxa"/>
            <w:vAlign w:val="center"/>
          </w:tcPr>
          <w:p>
            <w:pPr>
              <w:widowControl/>
              <w:spacing w:line="400" w:lineRule="exact"/>
              <w:jc w:val="center"/>
              <w:rPr>
                <w:rFonts w:hint="eastAsia" w:ascii="新宋体" w:hAnsi="新宋体" w:eastAsia="新宋体" w:cs="新宋体"/>
                <w:color w:val="000000"/>
                <w:kern w:val="0"/>
                <w:sz w:val="24"/>
                <w:szCs w:val="21"/>
              </w:rPr>
            </w:pPr>
          </w:p>
        </w:tc>
        <w:tc>
          <w:tcPr>
            <w:tcW w:w="1681" w:type="dxa"/>
            <w:vAlign w:val="center"/>
          </w:tcPr>
          <w:p>
            <w:pPr>
              <w:widowControl/>
              <w:spacing w:line="400" w:lineRule="exact"/>
              <w:jc w:val="center"/>
              <w:rPr>
                <w:rFonts w:hint="eastAsia" w:ascii="新宋体" w:hAnsi="新宋体" w:eastAsia="新宋体" w:cs="新宋体"/>
                <w:color w:val="000000"/>
                <w:kern w:val="0"/>
                <w:sz w:val="24"/>
                <w:szCs w:val="21"/>
              </w:rPr>
            </w:pPr>
          </w:p>
        </w:tc>
        <w:tc>
          <w:tcPr>
            <w:tcW w:w="887" w:type="dxa"/>
            <w:vAlign w:val="center"/>
          </w:tcPr>
          <w:p>
            <w:pPr>
              <w:spacing w:line="400" w:lineRule="exact"/>
              <w:ind w:firstLine="480" w:firstLineChars="200"/>
              <w:jc w:val="center"/>
              <w:rPr>
                <w:rFonts w:hint="eastAsia" w:ascii="新宋体" w:hAnsi="新宋体" w:eastAsia="新宋体" w:cs="新宋体"/>
                <w:color w:val="000000"/>
                <w:sz w:val="24"/>
                <w:szCs w:val="21"/>
              </w:rPr>
            </w:pPr>
          </w:p>
        </w:tc>
        <w:tc>
          <w:tcPr>
            <w:tcW w:w="1341" w:type="dxa"/>
            <w:vAlign w:val="center"/>
          </w:tcPr>
          <w:p>
            <w:pPr>
              <w:spacing w:line="400" w:lineRule="exact"/>
              <w:ind w:firstLine="480" w:firstLineChars="200"/>
              <w:jc w:val="center"/>
              <w:rPr>
                <w:rFonts w:hint="eastAsia" w:ascii="新宋体" w:hAnsi="新宋体" w:eastAsia="新宋体" w:cs="新宋体"/>
                <w:color w:val="000000"/>
                <w:sz w:val="24"/>
                <w:szCs w:val="21"/>
              </w:rPr>
            </w:pPr>
          </w:p>
        </w:tc>
        <w:tc>
          <w:tcPr>
            <w:tcW w:w="2975" w:type="dxa"/>
            <w:vAlign w:val="center"/>
          </w:tcPr>
          <w:p>
            <w:pPr>
              <w:spacing w:line="400" w:lineRule="exact"/>
              <w:ind w:firstLine="480" w:firstLineChars="200"/>
              <w:jc w:val="center"/>
              <w:rPr>
                <w:rFonts w:hint="eastAsia" w:ascii="新宋体" w:hAnsi="新宋体" w:eastAsia="新宋体" w:cs="新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jc w:val="center"/>
        </w:trPr>
        <w:tc>
          <w:tcPr>
            <w:tcW w:w="10024" w:type="dxa"/>
            <w:gridSpan w:val="6"/>
            <w:vAlign w:val="center"/>
          </w:tcPr>
          <w:p>
            <w:pPr>
              <w:spacing w:line="400" w:lineRule="exact"/>
              <w:ind w:firstLine="480" w:firstLineChars="200"/>
              <w:rPr>
                <w:rFonts w:hint="eastAsia" w:ascii="新宋体" w:hAnsi="新宋体" w:eastAsia="新宋体" w:cs="新宋体"/>
                <w:sz w:val="24"/>
                <w:szCs w:val="21"/>
                <w:u w:val="single"/>
              </w:rPr>
            </w:pPr>
            <w:r>
              <w:rPr>
                <w:rFonts w:hint="eastAsia" w:ascii="新宋体" w:hAnsi="新宋体" w:eastAsia="新宋体" w:cs="新宋体"/>
                <w:sz w:val="24"/>
                <w:szCs w:val="21"/>
              </w:rPr>
              <w:t>合计：小写：</w:t>
            </w:r>
            <w:r>
              <w:rPr>
                <w:rFonts w:hint="eastAsia" w:ascii="新宋体" w:hAnsi="新宋体" w:eastAsia="新宋体" w:cs="新宋体"/>
                <w:sz w:val="24"/>
                <w:szCs w:val="21"/>
                <w:u w:val="single"/>
              </w:rPr>
              <w:t xml:space="preserve">                              </w:t>
            </w:r>
          </w:p>
          <w:p>
            <w:pPr>
              <w:spacing w:line="400" w:lineRule="exact"/>
              <w:ind w:firstLine="1200" w:firstLineChars="500"/>
              <w:rPr>
                <w:rFonts w:hint="eastAsia" w:ascii="新宋体" w:hAnsi="新宋体" w:eastAsia="新宋体" w:cs="新宋体"/>
                <w:color w:val="000000"/>
                <w:sz w:val="24"/>
                <w:szCs w:val="21"/>
              </w:rPr>
            </w:pPr>
            <w:r>
              <w:rPr>
                <w:rFonts w:hint="eastAsia" w:ascii="新宋体" w:hAnsi="新宋体" w:eastAsia="新宋体" w:cs="新宋体"/>
                <w:sz w:val="24"/>
                <w:szCs w:val="21"/>
              </w:rPr>
              <w:t>大写：</w:t>
            </w:r>
            <w:r>
              <w:rPr>
                <w:rFonts w:hint="eastAsia" w:ascii="新宋体" w:hAnsi="新宋体" w:eastAsia="新宋体" w:cs="新宋体"/>
                <w:sz w:val="24"/>
                <w:szCs w:val="21"/>
                <w:u w:val="single"/>
              </w:rPr>
              <w:t xml:space="preserve">                              </w:t>
            </w:r>
          </w:p>
        </w:tc>
      </w:tr>
    </w:tbl>
    <w:p>
      <w:pPr>
        <w:spacing w:line="360" w:lineRule="auto"/>
        <w:rPr>
          <w:rFonts w:hint="eastAsia" w:ascii="新宋体" w:hAnsi="新宋体" w:eastAsia="新宋体" w:cs="新宋体"/>
          <w:color w:val="000000"/>
          <w:sz w:val="24"/>
        </w:rPr>
      </w:pPr>
    </w:p>
    <w:p>
      <w:pPr>
        <w:tabs>
          <w:tab w:val="right" w:pos="9808"/>
        </w:tabs>
        <w:spacing w:before="312" w:beforeLines="100" w:after="312" w:afterLines="100"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投标方代表签字：________________        职  务:____________</w:t>
      </w:r>
      <w:r>
        <w:rPr>
          <w:rFonts w:hint="eastAsia" w:ascii="新宋体" w:hAnsi="新宋体" w:eastAsia="新宋体" w:cs="新宋体"/>
          <w:color w:val="000000"/>
          <w:sz w:val="24"/>
        </w:rPr>
        <w:tab/>
      </w:r>
    </w:p>
    <w:p>
      <w:pPr>
        <w:spacing w:line="360" w:lineRule="auto"/>
        <w:ind w:left="998" w:hanging="998" w:hangingChars="416"/>
        <w:rPr>
          <w:rFonts w:hint="eastAsia" w:ascii="新宋体" w:hAnsi="新宋体" w:eastAsia="新宋体" w:cs="新宋体"/>
          <w:color w:val="000000"/>
          <w:sz w:val="24"/>
        </w:rPr>
      </w:pPr>
      <w:r>
        <w:rPr>
          <w:rFonts w:hint="eastAsia" w:ascii="新宋体" w:hAnsi="新宋体" w:eastAsia="新宋体" w:cs="新宋体"/>
          <w:color w:val="000000"/>
          <w:sz w:val="24"/>
        </w:rPr>
        <w:t>备注：1、投标报价以人民币为结算币种，投标报价包括</w:t>
      </w:r>
      <w:r>
        <w:rPr>
          <w:rFonts w:hint="eastAsia" w:ascii="新宋体" w:hAnsi="新宋体" w:eastAsia="新宋体" w:cs="新宋体"/>
          <w:b/>
          <w:bCs/>
          <w:color w:val="000000"/>
          <w:sz w:val="24"/>
        </w:rPr>
        <w:t>全部设备价款（含必备的附件备件）、运输装卸费、安装调试费和税费等</w:t>
      </w:r>
      <w:r>
        <w:rPr>
          <w:rFonts w:hint="eastAsia" w:ascii="新宋体" w:hAnsi="新宋体" w:eastAsia="新宋体" w:cs="新宋体"/>
          <w:color w:val="000000"/>
          <w:sz w:val="24"/>
        </w:rPr>
        <w:t>所有一切费用；</w:t>
      </w:r>
      <w:r>
        <w:rPr>
          <w:rFonts w:hint="eastAsia" w:ascii="新宋体" w:hAnsi="新宋体" w:eastAsia="新宋体" w:cs="新宋体"/>
          <w:b/>
          <w:bCs/>
          <w:color w:val="000000"/>
          <w:sz w:val="24"/>
          <w:u w:val="single"/>
        </w:rPr>
        <w:t>投标报价为投标方所能承受的最低、最终报价</w:t>
      </w:r>
      <w:r>
        <w:rPr>
          <w:rFonts w:hint="eastAsia" w:ascii="新宋体" w:hAnsi="新宋体" w:eastAsia="新宋体" w:cs="新宋体"/>
          <w:b/>
          <w:bCs/>
          <w:color w:val="000000"/>
          <w:sz w:val="24"/>
        </w:rPr>
        <w:t>。</w:t>
      </w:r>
      <w:r>
        <w:rPr>
          <w:rFonts w:hint="eastAsia" w:ascii="新宋体" w:hAnsi="新宋体" w:eastAsia="新宋体" w:cs="新宋体"/>
          <w:b/>
          <w:bCs/>
          <w:color w:val="000000"/>
          <w:sz w:val="24"/>
          <w:u w:val="single"/>
        </w:rPr>
        <w:t>设备只允许有一个报价，有选择的报价将不予接受</w:t>
      </w:r>
      <w:r>
        <w:rPr>
          <w:rFonts w:hint="eastAsia" w:ascii="新宋体" w:hAnsi="新宋体" w:eastAsia="新宋体" w:cs="新宋体"/>
          <w:b/>
          <w:bCs/>
          <w:color w:val="000000"/>
          <w:sz w:val="24"/>
        </w:rPr>
        <w:t>。</w:t>
      </w:r>
    </w:p>
    <w:p>
      <w:pPr>
        <w:pStyle w:val="5"/>
        <w:spacing w:line="360" w:lineRule="auto"/>
        <w:ind w:firstLine="720" w:firstLineChars="300"/>
        <w:rPr>
          <w:rFonts w:hint="eastAsia" w:ascii="新宋体" w:hAnsi="新宋体" w:eastAsia="新宋体" w:cs="新宋体"/>
          <w:color w:val="000000"/>
          <w:sz w:val="24"/>
        </w:rPr>
      </w:pPr>
      <w:r>
        <w:rPr>
          <w:rFonts w:hint="eastAsia" w:ascii="新宋体" w:hAnsi="新宋体" w:eastAsia="新宋体" w:cs="新宋体"/>
          <w:color w:val="000000"/>
          <w:sz w:val="24"/>
        </w:rPr>
        <w:t>2、</w:t>
      </w:r>
      <w:r>
        <w:rPr>
          <w:rFonts w:hint="eastAsia" w:ascii="新宋体" w:hAnsi="新宋体" w:eastAsia="新宋体" w:cs="新宋体"/>
          <w:color w:val="000000"/>
          <w:sz w:val="24"/>
          <w:szCs w:val="24"/>
        </w:rPr>
        <w:t>此表在不改变表式的情况下，可自行制作。</w:t>
      </w:r>
    </w:p>
    <w:p>
      <w:pPr>
        <w:pStyle w:val="5"/>
        <w:spacing w:line="360" w:lineRule="exact"/>
        <w:ind w:firstLine="720" w:firstLineChars="300"/>
        <w:rPr>
          <w:rFonts w:hint="eastAsia" w:ascii="新宋体" w:hAnsi="新宋体" w:eastAsia="新宋体" w:cs="新宋体"/>
          <w:color w:val="000000"/>
          <w:sz w:val="24"/>
          <w:szCs w:val="24"/>
        </w:rPr>
      </w:pPr>
    </w:p>
    <w:p>
      <w:pPr>
        <w:pStyle w:val="5"/>
        <w:spacing w:line="360" w:lineRule="exact"/>
        <w:ind w:firstLine="720" w:firstLineChars="300"/>
        <w:rPr>
          <w:rFonts w:hint="eastAsia" w:ascii="新宋体" w:hAnsi="新宋体" w:eastAsia="新宋体" w:cs="新宋体"/>
          <w:color w:val="000000"/>
          <w:sz w:val="24"/>
          <w:szCs w:val="24"/>
        </w:rPr>
      </w:pPr>
    </w:p>
    <w:p>
      <w:pPr>
        <w:pStyle w:val="5"/>
        <w:spacing w:line="360" w:lineRule="exact"/>
        <w:rPr>
          <w:rFonts w:hint="eastAsia" w:ascii="新宋体" w:hAnsi="新宋体" w:eastAsia="新宋体" w:cs="新宋体"/>
          <w:color w:val="000000"/>
          <w:sz w:val="24"/>
          <w:szCs w:val="24"/>
        </w:rPr>
      </w:pPr>
    </w:p>
    <w:p>
      <w:pPr>
        <w:pStyle w:val="5"/>
        <w:spacing w:before="156" w:beforeLines="50" w:line="360" w:lineRule="auto"/>
        <w:jc w:val="center"/>
        <w:rPr>
          <w:rFonts w:hint="eastAsia" w:ascii="新宋体" w:hAnsi="新宋体" w:eastAsia="新宋体" w:cs="新宋体"/>
          <w:bCs/>
          <w:color w:val="000000"/>
          <w:sz w:val="30"/>
          <w:szCs w:val="30"/>
        </w:rPr>
      </w:pPr>
    </w:p>
    <w:p>
      <w:pPr>
        <w:pStyle w:val="5"/>
        <w:spacing w:before="156" w:beforeLines="50" w:line="360" w:lineRule="auto"/>
        <w:jc w:val="center"/>
        <w:rPr>
          <w:rFonts w:hint="eastAsia" w:ascii="新宋体" w:hAnsi="新宋体" w:eastAsia="新宋体" w:cs="新宋体"/>
          <w:bCs/>
          <w:color w:val="000000"/>
          <w:sz w:val="30"/>
          <w:szCs w:val="30"/>
        </w:rPr>
      </w:pPr>
    </w:p>
    <w:p>
      <w:pPr>
        <w:pStyle w:val="5"/>
        <w:spacing w:line="360" w:lineRule="auto"/>
        <w:jc w:val="both"/>
        <w:rPr>
          <w:rFonts w:hint="eastAsia" w:ascii="新宋体" w:hAnsi="新宋体" w:eastAsia="新宋体" w:cs="新宋体"/>
          <w:bCs/>
          <w:color w:val="000000"/>
          <w:sz w:val="30"/>
          <w:szCs w:val="30"/>
          <w:lang w:val="en-US" w:eastAsia="zh-CN"/>
        </w:rPr>
      </w:pPr>
      <w:r>
        <w:rPr>
          <w:rFonts w:hint="eastAsia" w:ascii="新宋体" w:hAnsi="新宋体" w:eastAsia="新宋体" w:cs="新宋体"/>
          <w:bCs/>
          <w:color w:val="000000"/>
          <w:sz w:val="30"/>
          <w:szCs w:val="30"/>
        </w:rPr>
        <w:t>附件</w:t>
      </w:r>
      <w:r>
        <w:rPr>
          <w:rFonts w:hint="eastAsia" w:ascii="新宋体" w:hAnsi="新宋体" w:eastAsia="新宋体" w:cs="新宋体"/>
          <w:bCs/>
          <w:color w:val="000000"/>
          <w:sz w:val="30"/>
          <w:szCs w:val="30"/>
          <w:lang w:val="en-US" w:eastAsia="zh-CN"/>
        </w:rPr>
        <w:t>8</w:t>
      </w:r>
      <w:r>
        <w:rPr>
          <w:rFonts w:hint="eastAsia" w:ascii="新宋体" w:hAnsi="新宋体" w:eastAsia="新宋体" w:cs="新宋体"/>
          <w:bCs/>
          <w:color w:val="000000"/>
          <w:sz w:val="30"/>
          <w:szCs w:val="30"/>
        </w:rPr>
        <w:t>：</w:t>
      </w:r>
      <w:r>
        <w:rPr>
          <w:rFonts w:hint="eastAsia" w:ascii="新宋体" w:hAnsi="新宋体" w:eastAsia="新宋体" w:cs="新宋体"/>
          <w:bCs/>
          <w:color w:val="000000"/>
          <w:sz w:val="30"/>
          <w:szCs w:val="30"/>
          <w:lang w:val="en-US" w:eastAsia="zh-CN"/>
        </w:rPr>
        <w:t xml:space="preserve">         </w:t>
      </w:r>
    </w:p>
    <w:p>
      <w:pPr>
        <w:pStyle w:val="5"/>
        <w:spacing w:line="360" w:lineRule="auto"/>
        <w:jc w:val="both"/>
        <w:rPr>
          <w:rFonts w:hint="eastAsia" w:ascii="新宋体" w:hAnsi="新宋体" w:eastAsia="新宋体"/>
          <w:b/>
          <w:bCs/>
          <w:color w:val="000000"/>
          <w:sz w:val="48"/>
        </w:rPr>
      </w:pPr>
      <w:r>
        <w:rPr>
          <w:rFonts w:hint="eastAsia" w:ascii="新宋体" w:hAnsi="新宋体" w:eastAsia="新宋体" w:cs="新宋体"/>
          <w:bCs/>
          <w:color w:val="000000"/>
          <w:sz w:val="30"/>
          <w:szCs w:val="30"/>
          <w:lang w:val="en-US" w:eastAsia="zh-CN"/>
        </w:rPr>
        <w:t xml:space="preserve">                 </w:t>
      </w:r>
      <w:r>
        <w:rPr>
          <w:rFonts w:hint="eastAsia" w:ascii="新宋体" w:hAnsi="新宋体" w:eastAsia="新宋体"/>
          <w:b/>
          <w:bCs/>
          <w:color w:val="000000"/>
          <w:sz w:val="48"/>
        </w:rPr>
        <w:t>非现金让利一览表</w:t>
      </w:r>
    </w:p>
    <w:p>
      <w:pPr>
        <w:pStyle w:val="5"/>
        <w:spacing w:before="312" w:beforeLines="100" w:after="312" w:afterLines="100" w:line="360" w:lineRule="auto"/>
        <w:jc w:val="center"/>
        <w:rPr>
          <w:rFonts w:hint="eastAsia" w:ascii="新宋体" w:hAnsi="新宋体" w:eastAsia="新宋体"/>
          <w:color w:val="000000"/>
          <w:sz w:val="24"/>
          <w:szCs w:val="24"/>
        </w:rPr>
      </w:pPr>
      <w:r>
        <w:rPr>
          <w:rFonts w:hint="eastAsia" w:ascii="新宋体" w:hAnsi="新宋体" w:eastAsia="新宋体"/>
          <w:color w:val="000000"/>
          <w:sz w:val="24"/>
          <w:szCs w:val="24"/>
        </w:rPr>
        <w:t>投标方名称（盖章）：____________________________  日  期:________________</w:t>
      </w:r>
    </w:p>
    <w:p>
      <w:pPr>
        <w:pStyle w:val="5"/>
        <w:spacing w:before="312" w:beforeLines="100" w:line="0" w:lineRule="atLeast"/>
        <w:jc w:val="left"/>
        <w:rPr>
          <w:rFonts w:hint="eastAsia" w:ascii="新宋体" w:hAnsi="新宋体" w:eastAsia="新宋体"/>
          <w:color w:val="000000"/>
          <w:sz w:val="24"/>
          <w:szCs w:val="24"/>
          <w:u w:val="single"/>
        </w:rPr>
      </w:pPr>
      <w:r>
        <w:rPr>
          <w:rFonts w:hint="eastAsia" w:ascii="新宋体" w:hAnsi="新宋体" w:eastAsia="新宋体"/>
          <w:color w:val="000000"/>
          <w:sz w:val="24"/>
          <w:szCs w:val="24"/>
        </w:rPr>
        <w:t>让利范围所属标段：</w:t>
      </w:r>
      <w:r>
        <w:rPr>
          <w:rFonts w:hint="eastAsia" w:ascii="新宋体" w:hAnsi="新宋体" w:eastAsia="新宋体"/>
          <w:color w:val="000000"/>
          <w:sz w:val="24"/>
          <w:szCs w:val="24"/>
          <w:u w:val="single"/>
        </w:rPr>
        <w:t xml:space="preserve">                              </w:t>
      </w:r>
    </w:p>
    <w:tbl>
      <w:tblPr>
        <w:tblStyle w:val="12"/>
        <w:tblW w:w="9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16"/>
        <w:gridCol w:w="165"/>
        <w:gridCol w:w="1681"/>
        <w:gridCol w:w="887"/>
        <w:gridCol w:w="1025"/>
        <w:gridCol w:w="127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779" w:type="dxa"/>
            <w:vAlign w:val="center"/>
          </w:tcPr>
          <w:p>
            <w:pPr>
              <w:spacing w:line="360" w:lineRule="exact"/>
              <w:jc w:val="center"/>
              <w:rPr>
                <w:rFonts w:hint="eastAsia" w:ascii="新宋体" w:hAnsi="新宋体" w:eastAsia="新宋体"/>
                <w:b/>
                <w:color w:val="000000"/>
                <w:sz w:val="24"/>
                <w:szCs w:val="21"/>
              </w:rPr>
            </w:pPr>
            <w:r>
              <w:rPr>
                <w:rFonts w:hint="eastAsia" w:ascii="新宋体" w:hAnsi="新宋体" w:eastAsia="新宋体"/>
                <w:b/>
                <w:color w:val="000000"/>
                <w:sz w:val="24"/>
                <w:szCs w:val="21"/>
              </w:rPr>
              <w:t>序号</w:t>
            </w:r>
          </w:p>
        </w:tc>
        <w:tc>
          <w:tcPr>
            <w:tcW w:w="2081" w:type="dxa"/>
            <w:gridSpan w:val="2"/>
            <w:vAlign w:val="center"/>
          </w:tcPr>
          <w:p>
            <w:pPr>
              <w:spacing w:line="360" w:lineRule="exact"/>
              <w:jc w:val="center"/>
              <w:rPr>
                <w:rFonts w:hint="eastAsia" w:ascii="新宋体" w:hAnsi="新宋体" w:eastAsia="新宋体"/>
                <w:b/>
                <w:color w:val="000000"/>
                <w:sz w:val="24"/>
                <w:szCs w:val="21"/>
              </w:rPr>
            </w:pPr>
            <w:r>
              <w:rPr>
                <w:rFonts w:hint="eastAsia" w:ascii="新宋体" w:hAnsi="新宋体" w:eastAsia="新宋体"/>
                <w:b/>
                <w:color w:val="000000"/>
                <w:sz w:val="24"/>
                <w:szCs w:val="21"/>
              </w:rPr>
              <w:t>货物名称</w:t>
            </w:r>
          </w:p>
          <w:p>
            <w:pPr>
              <w:spacing w:line="360" w:lineRule="exact"/>
              <w:jc w:val="center"/>
              <w:rPr>
                <w:rFonts w:hint="eastAsia" w:ascii="新宋体" w:hAnsi="新宋体" w:eastAsia="新宋体"/>
                <w:b/>
                <w:color w:val="000000"/>
                <w:sz w:val="24"/>
                <w:szCs w:val="21"/>
              </w:rPr>
            </w:pPr>
            <w:r>
              <w:rPr>
                <w:rFonts w:hint="eastAsia" w:ascii="新宋体" w:hAnsi="新宋体" w:eastAsia="新宋体"/>
                <w:b/>
                <w:color w:val="000000"/>
                <w:sz w:val="24"/>
                <w:szCs w:val="21"/>
              </w:rPr>
              <w:t>（设备、耗材、服务等）</w:t>
            </w:r>
          </w:p>
        </w:tc>
        <w:tc>
          <w:tcPr>
            <w:tcW w:w="1681" w:type="dxa"/>
            <w:vAlign w:val="center"/>
          </w:tcPr>
          <w:p>
            <w:pPr>
              <w:spacing w:line="360" w:lineRule="exact"/>
              <w:jc w:val="center"/>
              <w:rPr>
                <w:rFonts w:hint="eastAsia" w:ascii="新宋体" w:hAnsi="新宋体" w:eastAsia="新宋体"/>
                <w:b/>
                <w:sz w:val="24"/>
                <w:szCs w:val="21"/>
              </w:rPr>
            </w:pPr>
            <w:r>
              <w:rPr>
                <w:rFonts w:hint="eastAsia" w:ascii="新宋体" w:hAnsi="新宋体" w:eastAsia="新宋体"/>
                <w:b/>
                <w:bCs/>
                <w:color w:val="000000"/>
                <w:sz w:val="24"/>
              </w:rPr>
              <w:t>品牌</w:t>
            </w:r>
            <w:r>
              <w:rPr>
                <w:rFonts w:hint="eastAsia" w:ascii="新宋体" w:hAnsi="新宋体" w:eastAsia="新宋体"/>
                <w:b/>
                <w:sz w:val="24"/>
                <w:szCs w:val="21"/>
              </w:rPr>
              <w:t>规格型号</w:t>
            </w:r>
          </w:p>
        </w:tc>
        <w:tc>
          <w:tcPr>
            <w:tcW w:w="887" w:type="dxa"/>
            <w:vAlign w:val="center"/>
          </w:tcPr>
          <w:p>
            <w:pPr>
              <w:spacing w:line="360" w:lineRule="exact"/>
              <w:jc w:val="center"/>
              <w:rPr>
                <w:rFonts w:hint="eastAsia" w:ascii="新宋体" w:hAnsi="新宋体" w:eastAsia="新宋体"/>
                <w:b/>
                <w:color w:val="000000"/>
                <w:sz w:val="24"/>
                <w:szCs w:val="21"/>
              </w:rPr>
            </w:pPr>
            <w:r>
              <w:rPr>
                <w:rFonts w:hint="eastAsia" w:ascii="新宋体" w:hAnsi="新宋体" w:eastAsia="新宋体"/>
                <w:b/>
                <w:color w:val="000000"/>
                <w:sz w:val="24"/>
                <w:szCs w:val="21"/>
              </w:rPr>
              <w:t>数量</w:t>
            </w:r>
          </w:p>
        </w:tc>
        <w:tc>
          <w:tcPr>
            <w:tcW w:w="1025" w:type="dxa"/>
            <w:vAlign w:val="center"/>
          </w:tcPr>
          <w:p>
            <w:pPr>
              <w:spacing w:line="360" w:lineRule="exact"/>
              <w:jc w:val="center"/>
              <w:rPr>
                <w:rFonts w:hint="eastAsia" w:ascii="新宋体" w:hAnsi="新宋体" w:eastAsia="新宋体"/>
                <w:b/>
                <w:color w:val="000000"/>
                <w:sz w:val="24"/>
                <w:szCs w:val="21"/>
              </w:rPr>
            </w:pPr>
            <w:r>
              <w:rPr>
                <w:rFonts w:hint="eastAsia" w:ascii="新宋体" w:hAnsi="新宋体" w:eastAsia="新宋体"/>
                <w:b/>
                <w:color w:val="000000"/>
                <w:sz w:val="24"/>
                <w:szCs w:val="21"/>
              </w:rPr>
              <w:t>单价</w:t>
            </w:r>
          </w:p>
        </w:tc>
        <w:tc>
          <w:tcPr>
            <w:tcW w:w="1276" w:type="dxa"/>
            <w:vAlign w:val="center"/>
          </w:tcPr>
          <w:p>
            <w:pPr>
              <w:spacing w:line="360" w:lineRule="exact"/>
              <w:jc w:val="center"/>
              <w:rPr>
                <w:rFonts w:hint="eastAsia" w:ascii="新宋体" w:hAnsi="新宋体" w:eastAsia="新宋体"/>
                <w:b/>
                <w:color w:val="000000"/>
                <w:sz w:val="24"/>
                <w:szCs w:val="21"/>
              </w:rPr>
            </w:pPr>
            <w:r>
              <w:rPr>
                <w:rFonts w:hint="eastAsia" w:ascii="新宋体" w:hAnsi="新宋体" w:eastAsia="新宋体"/>
                <w:b/>
                <w:color w:val="000000"/>
                <w:sz w:val="24"/>
                <w:szCs w:val="21"/>
              </w:rPr>
              <w:t>总价</w:t>
            </w:r>
          </w:p>
        </w:tc>
        <w:tc>
          <w:tcPr>
            <w:tcW w:w="2222" w:type="dxa"/>
            <w:vAlign w:val="center"/>
          </w:tcPr>
          <w:p>
            <w:pPr>
              <w:spacing w:line="360" w:lineRule="exact"/>
              <w:jc w:val="center"/>
              <w:rPr>
                <w:rFonts w:hint="eastAsia" w:ascii="新宋体" w:hAnsi="新宋体" w:eastAsia="新宋体"/>
                <w:b/>
                <w:color w:val="000000"/>
                <w:sz w:val="24"/>
                <w:szCs w:val="21"/>
              </w:rPr>
            </w:pPr>
            <w:r>
              <w:rPr>
                <w:rFonts w:hint="eastAsia" w:ascii="新宋体" w:hAnsi="新宋体" w:eastAsia="新宋体"/>
                <w:b/>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9" w:type="dxa"/>
            <w:vAlign w:val="center"/>
          </w:tcPr>
          <w:p>
            <w:pPr>
              <w:spacing w:line="400" w:lineRule="exact"/>
              <w:jc w:val="center"/>
              <w:rPr>
                <w:rFonts w:hint="eastAsia" w:ascii="新宋体" w:hAnsi="新宋体" w:eastAsia="新宋体"/>
                <w:color w:val="000000"/>
                <w:sz w:val="24"/>
                <w:szCs w:val="21"/>
              </w:rPr>
            </w:pPr>
            <w:r>
              <w:rPr>
                <w:rFonts w:hint="eastAsia" w:ascii="新宋体" w:hAnsi="新宋体" w:eastAsia="新宋体"/>
                <w:color w:val="000000"/>
                <w:sz w:val="24"/>
                <w:szCs w:val="21"/>
              </w:rPr>
              <w:t>1</w:t>
            </w:r>
          </w:p>
        </w:tc>
        <w:tc>
          <w:tcPr>
            <w:tcW w:w="2081" w:type="dxa"/>
            <w:gridSpan w:val="2"/>
            <w:vAlign w:val="center"/>
          </w:tcPr>
          <w:p>
            <w:pPr>
              <w:widowControl/>
              <w:spacing w:line="400" w:lineRule="exact"/>
              <w:jc w:val="center"/>
              <w:rPr>
                <w:rFonts w:hint="eastAsia" w:ascii="新宋体" w:hAnsi="新宋体" w:eastAsia="新宋体" w:cs="宋体"/>
                <w:color w:val="000000"/>
                <w:kern w:val="0"/>
                <w:sz w:val="24"/>
                <w:szCs w:val="21"/>
              </w:rPr>
            </w:pPr>
          </w:p>
        </w:tc>
        <w:tc>
          <w:tcPr>
            <w:tcW w:w="1681" w:type="dxa"/>
            <w:vAlign w:val="center"/>
          </w:tcPr>
          <w:p>
            <w:pPr>
              <w:widowControl/>
              <w:spacing w:line="400" w:lineRule="exact"/>
              <w:jc w:val="center"/>
              <w:rPr>
                <w:rFonts w:hint="eastAsia" w:ascii="新宋体" w:hAnsi="新宋体" w:eastAsia="新宋体" w:cs="宋体"/>
                <w:color w:val="000000"/>
                <w:kern w:val="0"/>
                <w:sz w:val="24"/>
                <w:szCs w:val="21"/>
              </w:rPr>
            </w:pPr>
          </w:p>
        </w:tc>
        <w:tc>
          <w:tcPr>
            <w:tcW w:w="887"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025"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276"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2222" w:type="dxa"/>
            <w:vAlign w:val="center"/>
          </w:tcPr>
          <w:p>
            <w:pPr>
              <w:spacing w:line="400" w:lineRule="exact"/>
              <w:ind w:firstLine="480" w:firstLineChars="200"/>
              <w:jc w:val="center"/>
              <w:rPr>
                <w:rFonts w:hint="eastAsia" w:ascii="新宋体" w:hAnsi="新宋体" w:eastAsia="新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79" w:type="dxa"/>
            <w:vAlign w:val="center"/>
          </w:tcPr>
          <w:p>
            <w:pPr>
              <w:spacing w:line="400" w:lineRule="exact"/>
              <w:jc w:val="center"/>
              <w:rPr>
                <w:rFonts w:hint="eastAsia" w:ascii="新宋体" w:hAnsi="新宋体" w:eastAsia="新宋体"/>
                <w:color w:val="000000"/>
                <w:sz w:val="24"/>
                <w:szCs w:val="21"/>
              </w:rPr>
            </w:pPr>
            <w:r>
              <w:rPr>
                <w:rFonts w:hint="eastAsia" w:ascii="新宋体" w:hAnsi="新宋体" w:eastAsia="新宋体"/>
                <w:color w:val="000000"/>
                <w:sz w:val="24"/>
                <w:szCs w:val="21"/>
              </w:rPr>
              <w:t>2</w:t>
            </w:r>
          </w:p>
        </w:tc>
        <w:tc>
          <w:tcPr>
            <w:tcW w:w="2081" w:type="dxa"/>
            <w:gridSpan w:val="2"/>
            <w:vAlign w:val="center"/>
          </w:tcPr>
          <w:p>
            <w:pPr>
              <w:widowControl/>
              <w:spacing w:line="400" w:lineRule="exact"/>
              <w:jc w:val="center"/>
              <w:rPr>
                <w:rFonts w:hint="eastAsia" w:ascii="新宋体" w:hAnsi="新宋体" w:eastAsia="新宋体" w:cs="宋体"/>
                <w:color w:val="000000"/>
                <w:kern w:val="0"/>
                <w:sz w:val="24"/>
                <w:szCs w:val="21"/>
              </w:rPr>
            </w:pPr>
          </w:p>
        </w:tc>
        <w:tc>
          <w:tcPr>
            <w:tcW w:w="1681" w:type="dxa"/>
            <w:vAlign w:val="center"/>
          </w:tcPr>
          <w:p>
            <w:pPr>
              <w:widowControl/>
              <w:spacing w:line="400" w:lineRule="exact"/>
              <w:jc w:val="center"/>
              <w:rPr>
                <w:rFonts w:hint="eastAsia" w:ascii="新宋体" w:hAnsi="新宋体" w:eastAsia="新宋体" w:cs="宋体"/>
                <w:color w:val="000000"/>
                <w:kern w:val="0"/>
                <w:sz w:val="24"/>
                <w:szCs w:val="21"/>
              </w:rPr>
            </w:pPr>
          </w:p>
        </w:tc>
        <w:tc>
          <w:tcPr>
            <w:tcW w:w="887"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025"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276"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2222" w:type="dxa"/>
            <w:vAlign w:val="center"/>
          </w:tcPr>
          <w:p>
            <w:pPr>
              <w:spacing w:line="400" w:lineRule="exact"/>
              <w:ind w:firstLine="480" w:firstLineChars="200"/>
              <w:jc w:val="center"/>
              <w:rPr>
                <w:rFonts w:hint="eastAsia" w:ascii="新宋体" w:hAnsi="新宋体" w:eastAsia="新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79" w:type="dxa"/>
            <w:vAlign w:val="center"/>
          </w:tcPr>
          <w:p>
            <w:pPr>
              <w:spacing w:line="400" w:lineRule="exact"/>
              <w:jc w:val="center"/>
              <w:rPr>
                <w:rFonts w:hint="eastAsia" w:ascii="新宋体" w:hAnsi="新宋体" w:eastAsia="新宋体"/>
                <w:color w:val="000000"/>
                <w:sz w:val="24"/>
                <w:szCs w:val="21"/>
              </w:rPr>
            </w:pPr>
            <w:r>
              <w:rPr>
                <w:rFonts w:hint="eastAsia" w:ascii="新宋体" w:hAnsi="新宋体" w:eastAsia="新宋体"/>
                <w:color w:val="000000"/>
                <w:sz w:val="24"/>
                <w:szCs w:val="21"/>
              </w:rPr>
              <w:t>3</w:t>
            </w:r>
          </w:p>
        </w:tc>
        <w:tc>
          <w:tcPr>
            <w:tcW w:w="2081" w:type="dxa"/>
            <w:gridSpan w:val="2"/>
            <w:vAlign w:val="center"/>
          </w:tcPr>
          <w:p>
            <w:pPr>
              <w:widowControl/>
              <w:spacing w:line="400" w:lineRule="exact"/>
              <w:jc w:val="center"/>
              <w:rPr>
                <w:rFonts w:hint="eastAsia" w:ascii="新宋体" w:hAnsi="新宋体" w:eastAsia="新宋体" w:cs="宋体"/>
                <w:color w:val="000000"/>
                <w:kern w:val="0"/>
                <w:sz w:val="24"/>
                <w:szCs w:val="21"/>
              </w:rPr>
            </w:pPr>
          </w:p>
        </w:tc>
        <w:tc>
          <w:tcPr>
            <w:tcW w:w="1681" w:type="dxa"/>
            <w:vAlign w:val="center"/>
          </w:tcPr>
          <w:p>
            <w:pPr>
              <w:widowControl/>
              <w:spacing w:line="400" w:lineRule="exact"/>
              <w:jc w:val="center"/>
              <w:rPr>
                <w:rFonts w:hint="eastAsia" w:ascii="新宋体" w:hAnsi="新宋体" w:eastAsia="新宋体" w:cs="宋体"/>
                <w:color w:val="000000"/>
                <w:kern w:val="0"/>
                <w:sz w:val="24"/>
                <w:szCs w:val="21"/>
              </w:rPr>
            </w:pPr>
          </w:p>
        </w:tc>
        <w:tc>
          <w:tcPr>
            <w:tcW w:w="887"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025"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276"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2222" w:type="dxa"/>
            <w:vAlign w:val="center"/>
          </w:tcPr>
          <w:p>
            <w:pPr>
              <w:spacing w:line="400" w:lineRule="exact"/>
              <w:ind w:firstLine="480" w:firstLineChars="200"/>
              <w:jc w:val="center"/>
              <w:rPr>
                <w:rFonts w:hint="eastAsia" w:ascii="新宋体" w:hAnsi="新宋体" w:eastAsia="新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79" w:type="dxa"/>
            <w:vAlign w:val="center"/>
          </w:tcPr>
          <w:p>
            <w:pPr>
              <w:spacing w:line="400" w:lineRule="exact"/>
              <w:jc w:val="center"/>
              <w:rPr>
                <w:rFonts w:hint="eastAsia" w:ascii="新宋体" w:hAnsi="新宋体" w:eastAsia="新宋体"/>
                <w:color w:val="000000"/>
                <w:sz w:val="24"/>
                <w:szCs w:val="21"/>
              </w:rPr>
            </w:pPr>
            <w:r>
              <w:rPr>
                <w:rFonts w:hint="eastAsia" w:ascii="新宋体" w:hAnsi="新宋体" w:eastAsia="新宋体"/>
                <w:color w:val="000000"/>
                <w:sz w:val="24"/>
                <w:szCs w:val="21"/>
              </w:rPr>
              <w:t>4</w:t>
            </w:r>
          </w:p>
        </w:tc>
        <w:tc>
          <w:tcPr>
            <w:tcW w:w="2081" w:type="dxa"/>
            <w:gridSpan w:val="2"/>
            <w:vAlign w:val="center"/>
          </w:tcPr>
          <w:p>
            <w:pPr>
              <w:widowControl/>
              <w:spacing w:line="400" w:lineRule="exact"/>
              <w:jc w:val="center"/>
              <w:rPr>
                <w:rFonts w:hint="eastAsia" w:ascii="新宋体" w:hAnsi="新宋体" w:eastAsia="新宋体" w:cs="宋体"/>
                <w:color w:val="000000"/>
                <w:kern w:val="0"/>
                <w:sz w:val="24"/>
                <w:szCs w:val="21"/>
              </w:rPr>
            </w:pPr>
          </w:p>
        </w:tc>
        <w:tc>
          <w:tcPr>
            <w:tcW w:w="1681" w:type="dxa"/>
            <w:vAlign w:val="center"/>
          </w:tcPr>
          <w:p>
            <w:pPr>
              <w:widowControl/>
              <w:spacing w:line="400" w:lineRule="exact"/>
              <w:jc w:val="center"/>
              <w:rPr>
                <w:rFonts w:hint="eastAsia" w:ascii="新宋体" w:hAnsi="新宋体" w:eastAsia="新宋体" w:cs="宋体"/>
                <w:color w:val="000000"/>
                <w:kern w:val="0"/>
                <w:sz w:val="24"/>
                <w:szCs w:val="21"/>
              </w:rPr>
            </w:pPr>
          </w:p>
        </w:tc>
        <w:tc>
          <w:tcPr>
            <w:tcW w:w="887"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025"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276"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2222" w:type="dxa"/>
            <w:vAlign w:val="center"/>
          </w:tcPr>
          <w:p>
            <w:pPr>
              <w:spacing w:line="400" w:lineRule="exact"/>
              <w:ind w:firstLine="480" w:firstLineChars="200"/>
              <w:jc w:val="center"/>
              <w:rPr>
                <w:rFonts w:hint="eastAsia" w:ascii="新宋体" w:hAnsi="新宋体" w:eastAsia="新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79" w:type="dxa"/>
            <w:vAlign w:val="center"/>
          </w:tcPr>
          <w:p>
            <w:pPr>
              <w:spacing w:line="400" w:lineRule="exact"/>
              <w:jc w:val="center"/>
              <w:rPr>
                <w:rFonts w:hint="eastAsia" w:ascii="新宋体" w:hAnsi="新宋体" w:eastAsia="新宋体"/>
                <w:color w:val="000000"/>
                <w:sz w:val="24"/>
                <w:szCs w:val="21"/>
              </w:rPr>
            </w:pPr>
            <w:r>
              <w:rPr>
                <w:rFonts w:hint="eastAsia" w:ascii="新宋体" w:hAnsi="新宋体" w:eastAsia="新宋体"/>
                <w:color w:val="000000"/>
                <w:sz w:val="24"/>
                <w:szCs w:val="21"/>
              </w:rPr>
              <w:t>5</w:t>
            </w:r>
          </w:p>
        </w:tc>
        <w:tc>
          <w:tcPr>
            <w:tcW w:w="2081" w:type="dxa"/>
            <w:gridSpan w:val="2"/>
            <w:vAlign w:val="center"/>
          </w:tcPr>
          <w:p>
            <w:pPr>
              <w:widowControl/>
              <w:spacing w:line="400" w:lineRule="exact"/>
              <w:jc w:val="center"/>
              <w:rPr>
                <w:rFonts w:hint="eastAsia" w:ascii="新宋体" w:hAnsi="新宋体" w:eastAsia="新宋体" w:cs="宋体"/>
                <w:color w:val="000000"/>
                <w:kern w:val="0"/>
                <w:sz w:val="24"/>
                <w:szCs w:val="21"/>
              </w:rPr>
            </w:pPr>
          </w:p>
        </w:tc>
        <w:tc>
          <w:tcPr>
            <w:tcW w:w="1681" w:type="dxa"/>
            <w:vAlign w:val="center"/>
          </w:tcPr>
          <w:p>
            <w:pPr>
              <w:widowControl/>
              <w:spacing w:line="400" w:lineRule="exact"/>
              <w:jc w:val="center"/>
              <w:rPr>
                <w:rFonts w:hint="eastAsia" w:ascii="新宋体" w:hAnsi="新宋体" w:eastAsia="新宋体" w:cs="宋体"/>
                <w:color w:val="000000"/>
                <w:kern w:val="0"/>
                <w:sz w:val="24"/>
                <w:szCs w:val="21"/>
              </w:rPr>
            </w:pPr>
          </w:p>
        </w:tc>
        <w:tc>
          <w:tcPr>
            <w:tcW w:w="887"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025"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1276" w:type="dxa"/>
            <w:vAlign w:val="center"/>
          </w:tcPr>
          <w:p>
            <w:pPr>
              <w:spacing w:line="400" w:lineRule="exact"/>
              <w:ind w:firstLine="480" w:firstLineChars="200"/>
              <w:jc w:val="center"/>
              <w:rPr>
                <w:rFonts w:hint="eastAsia" w:ascii="新宋体" w:hAnsi="新宋体" w:eastAsia="新宋体"/>
                <w:color w:val="000000"/>
                <w:sz w:val="24"/>
                <w:szCs w:val="21"/>
              </w:rPr>
            </w:pPr>
          </w:p>
        </w:tc>
        <w:tc>
          <w:tcPr>
            <w:tcW w:w="2222" w:type="dxa"/>
            <w:vAlign w:val="center"/>
          </w:tcPr>
          <w:p>
            <w:pPr>
              <w:spacing w:line="400" w:lineRule="exact"/>
              <w:ind w:firstLine="480" w:firstLineChars="200"/>
              <w:jc w:val="center"/>
              <w:rPr>
                <w:rFonts w:hint="eastAsia" w:ascii="新宋体" w:hAnsi="新宋体" w:eastAsia="新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2695" w:type="dxa"/>
            <w:gridSpan w:val="2"/>
            <w:vAlign w:val="center"/>
          </w:tcPr>
          <w:p>
            <w:pPr>
              <w:spacing w:line="400" w:lineRule="exact"/>
              <w:ind w:firstLine="480" w:firstLineChars="200"/>
              <w:jc w:val="center"/>
              <w:rPr>
                <w:rFonts w:hint="eastAsia" w:ascii="新宋体" w:hAnsi="新宋体" w:eastAsia="新宋体"/>
                <w:sz w:val="24"/>
                <w:szCs w:val="21"/>
              </w:rPr>
            </w:pPr>
            <w:r>
              <w:rPr>
                <w:rFonts w:hint="eastAsia" w:ascii="新宋体" w:hAnsi="新宋体" w:eastAsia="新宋体"/>
                <w:sz w:val="24"/>
                <w:szCs w:val="21"/>
              </w:rPr>
              <w:t>总让利</w:t>
            </w:r>
          </w:p>
        </w:tc>
        <w:tc>
          <w:tcPr>
            <w:tcW w:w="7256" w:type="dxa"/>
            <w:gridSpan w:val="6"/>
            <w:vAlign w:val="center"/>
          </w:tcPr>
          <w:p>
            <w:pPr>
              <w:spacing w:line="400" w:lineRule="exact"/>
              <w:ind w:firstLine="480" w:firstLineChars="200"/>
              <w:rPr>
                <w:rFonts w:hint="eastAsia" w:ascii="新宋体" w:hAnsi="新宋体" w:eastAsia="新宋体"/>
                <w:sz w:val="24"/>
                <w:szCs w:val="21"/>
                <w:u w:val="single"/>
              </w:rPr>
            </w:pPr>
            <w:r>
              <w:rPr>
                <w:rFonts w:hint="eastAsia" w:ascii="新宋体" w:hAnsi="新宋体" w:eastAsia="新宋体"/>
                <w:sz w:val="24"/>
                <w:szCs w:val="21"/>
              </w:rPr>
              <w:t>合计：小写：</w:t>
            </w:r>
          </w:p>
          <w:p>
            <w:pPr>
              <w:spacing w:line="400" w:lineRule="exact"/>
              <w:ind w:firstLine="1200" w:firstLineChars="500"/>
              <w:rPr>
                <w:rFonts w:hint="eastAsia" w:ascii="新宋体" w:hAnsi="新宋体" w:eastAsia="新宋体"/>
                <w:color w:val="000000"/>
                <w:sz w:val="24"/>
                <w:szCs w:val="21"/>
              </w:rPr>
            </w:pPr>
            <w:r>
              <w:rPr>
                <w:rFonts w:hint="eastAsia" w:ascii="新宋体" w:hAnsi="新宋体" w:eastAsia="新宋体"/>
                <w:sz w:val="24"/>
                <w:szCs w:val="21"/>
              </w:rPr>
              <w:t>大写：</w:t>
            </w:r>
          </w:p>
        </w:tc>
      </w:tr>
    </w:tbl>
    <w:p>
      <w:pPr>
        <w:spacing w:line="360" w:lineRule="auto"/>
        <w:rPr>
          <w:rFonts w:hint="eastAsia" w:ascii="新宋体" w:hAnsi="新宋体" w:eastAsia="新宋体"/>
          <w:color w:val="000000"/>
          <w:sz w:val="24"/>
        </w:rPr>
      </w:pPr>
    </w:p>
    <w:p>
      <w:pPr>
        <w:tabs>
          <w:tab w:val="right" w:pos="9808"/>
        </w:tabs>
        <w:spacing w:before="312" w:beforeLines="100" w:after="312" w:afterLines="100" w:line="360" w:lineRule="auto"/>
        <w:rPr>
          <w:rFonts w:hint="eastAsia" w:ascii="新宋体" w:hAnsi="新宋体" w:eastAsia="新宋体"/>
          <w:color w:val="000000"/>
          <w:sz w:val="24"/>
        </w:rPr>
      </w:pPr>
      <w:r>
        <w:rPr>
          <w:rFonts w:hint="eastAsia" w:ascii="新宋体" w:hAnsi="新宋体" w:eastAsia="新宋体"/>
          <w:color w:val="000000"/>
          <w:sz w:val="24"/>
        </w:rPr>
        <w:t>投标方代表签字：________________        职  务:____________</w:t>
      </w:r>
    </w:p>
    <w:p>
      <w:pPr>
        <w:rPr>
          <w:rFonts w:hint="eastAsia" w:ascii="新宋体" w:hAnsi="新宋体" w:eastAsia="新宋体" w:cs="新宋体"/>
          <w:sz w:val="24"/>
          <w:szCs w:val="24"/>
        </w:rPr>
      </w:pPr>
      <w:r>
        <w:rPr>
          <w:rFonts w:hint="eastAsia" w:ascii="新宋体" w:hAnsi="新宋体" w:eastAsia="新宋体" w:cs="新宋体"/>
          <w:sz w:val="24"/>
          <w:szCs w:val="24"/>
        </w:rPr>
        <w:t>备注：1、本表报价以人民币为结算币种，本表所含价格已包含在附件7投标总价中。</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      2、以服务形式让利的，须取得原厂或其售后服务部门证明。</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3、此表在不改变表式的情况下，可自行制作。</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4、直接现金让利者不用填写。</w:t>
      </w:r>
    </w:p>
    <w:p>
      <w:pPr>
        <w:rPr>
          <w:rFonts w:hint="eastAsia" w:ascii="新宋体" w:hAnsi="新宋体" w:eastAsia="新宋体" w:cs="新宋体"/>
          <w:b/>
          <w:bCs/>
          <w:color w:val="auto"/>
          <w:sz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b/>
          <w:bCs/>
          <w:color w:val="auto"/>
          <w:sz w:val="24"/>
        </w:rPr>
        <w:t xml:space="preserve">5、以提供高于预算价设备参与让利投标的需至少提供省内2014年1月1日以后的成交依据（含价格）3份（未有市场销售的2015年度最新款设备除外），并提供使用单位联系人和联系电话备查。让利报价=设备成交均价（如未有成交价的2015年度最新款设备用拟定的市场价为销售价）-预算价     </w:t>
      </w:r>
    </w:p>
    <w:p>
      <w:pPr>
        <w:rPr>
          <w:rFonts w:hint="eastAsia" w:ascii="新宋体" w:hAnsi="新宋体" w:eastAsia="新宋体" w:cs="新宋体"/>
          <w:b/>
          <w:bCs/>
          <w:color w:val="auto"/>
          <w:sz w:val="24"/>
        </w:rPr>
      </w:pPr>
      <w:r>
        <w:rPr>
          <w:rFonts w:hint="eastAsia" w:ascii="新宋体" w:hAnsi="新宋体" w:eastAsia="新宋体" w:cs="新宋体"/>
          <w:b/>
          <w:bCs/>
          <w:color w:val="auto"/>
          <w:sz w:val="24"/>
        </w:rPr>
        <w:t xml:space="preserve"> 6、如用非现金让利方式的，必须提供让利物资及其配件的品牌、型号、规格和相关参数资料(如产品彩页等）及2014年1月1日以后的价格证明依据(如合同、中标通知书等复印件)等尽可能详尽的依据性证明资料,并提供使用单位联系人和联系电话备查。否则一切后果，由投标方自负。</w:t>
      </w:r>
    </w:p>
    <w:p>
      <w:pPr>
        <w:rPr>
          <w:rFonts w:hint="eastAsia" w:ascii="新宋体" w:hAnsi="新宋体" w:eastAsia="新宋体" w:cs="新宋体"/>
          <w:b/>
          <w:bCs/>
          <w:color w:val="FF0000"/>
          <w:sz w:val="24"/>
          <w:szCs w:val="24"/>
        </w:rPr>
      </w:pPr>
    </w:p>
    <w:p>
      <w:pPr>
        <w:rPr>
          <w:rFonts w:hint="eastAsia" w:ascii="新宋体" w:hAnsi="新宋体" w:eastAsia="新宋体" w:cs="新宋体"/>
          <w:b/>
          <w:bCs/>
          <w:color w:val="FF0000"/>
          <w:sz w:val="24"/>
          <w:szCs w:val="24"/>
          <w:lang w:val="en-US" w:eastAsia="zh-CN"/>
        </w:rPr>
      </w:pPr>
      <w:r>
        <w:rPr>
          <w:rFonts w:hint="eastAsia" w:ascii="新宋体" w:hAnsi="新宋体" w:eastAsia="新宋体" w:cs="新宋体"/>
          <w:b/>
          <w:bCs/>
          <w:color w:val="FF0000"/>
          <w:sz w:val="24"/>
          <w:szCs w:val="24"/>
          <w:lang w:val="en-US" w:eastAsia="zh-CN"/>
        </w:rPr>
        <w:t xml:space="preserve">      </w:t>
      </w:r>
    </w:p>
    <w:p>
      <w:pPr>
        <w:pStyle w:val="5"/>
        <w:spacing w:line="360" w:lineRule="exact"/>
        <w:rPr>
          <w:rFonts w:hint="eastAsia" w:ascii="新宋体" w:hAnsi="新宋体" w:eastAsia="新宋体" w:cs="新宋体"/>
          <w:b/>
          <w:bCs/>
          <w:color w:val="FF0000"/>
          <w:sz w:val="24"/>
          <w:szCs w:val="24"/>
        </w:rPr>
      </w:pPr>
    </w:p>
    <w:p>
      <w:pPr>
        <w:pStyle w:val="5"/>
        <w:spacing w:before="156" w:beforeLines="50" w:line="360" w:lineRule="auto"/>
        <w:jc w:val="center"/>
        <w:rPr>
          <w:rFonts w:hint="eastAsia" w:ascii="新宋体" w:hAnsi="新宋体" w:eastAsia="新宋体" w:cs="新宋体"/>
          <w:bCs/>
          <w:color w:val="000000"/>
          <w:sz w:val="30"/>
          <w:szCs w:val="30"/>
        </w:rPr>
      </w:pPr>
    </w:p>
    <w:p>
      <w:pPr>
        <w:pStyle w:val="5"/>
        <w:spacing w:before="156" w:beforeLines="50" w:line="360" w:lineRule="auto"/>
        <w:jc w:val="center"/>
        <w:rPr>
          <w:rFonts w:hint="eastAsia" w:ascii="新宋体" w:hAnsi="新宋体" w:eastAsia="新宋体" w:cs="新宋体"/>
          <w:bCs/>
          <w:color w:val="000000"/>
          <w:sz w:val="30"/>
          <w:szCs w:val="30"/>
        </w:rPr>
      </w:pPr>
    </w:p>
    <w:p>
      <w:pPr>
        <w:pStyle w:val="5"/>
        <w:spacing w:before="156" w:beforeLines="50" w:line="360" w:lineRule="auto"/>
        <w:jc w:val="center"/>
        <w:rPr>
          <w:rFonts w:hint="eastAsia" w:ascii="新宋体" w:hAnsi="新宋体" w:eastAsia="新宋体" w:cs="新宋体"/>
          <w:b/>
          <w:bCs/>
          <w:color w:val="000000"/>
          <w:sz w:val="24"/>
          <w:szCs w:val="24"/>
        </w:rPr>
      </w:pPr>
      <w:r>
        <w:rPr>
          <w:rFonts w:hint="eastAsia" w:ascii="新宋体" w:hAnsi="新宋体" w:eastAsia="新宋体" w:cs="新宋体"/>
          <w:b/>
          <w:sz w:val="24"/>
          <w:szCs w:val="24"/>
        </w:rPr>
        <w:t>竞标记录表      第____轮</w:t>
      </w:r>
    </w:p>
    <w:tbl>
      <w:tblPr>
        <w:tblStyle w:val="12"/>
        <w:tblpPr w:leftFromText="180" w:rightFromText="180" w:vertAnchor="text" w:horzAnchor="page" w:tblpX="1117" w:tblpY="301"/>
        <w:tblOverlap w:val="never"/>
        <w:tblW w:w="101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9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1010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eastAsia="楷体_GB2312"/>
                <w:b/>
                <w:sz w:val="28"/>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51" w:hRule="atLeast"/>
        </w:trPr>
        <w:tc>
          <w:tcPr>
            <w:tcW w:w="532" w:type="dxa"/>
            <w:tcBorders>
              <w:top w:val="single" w:color="auto" w:sz="4" w:space="0"/>
              <w:left w:val="single" w:color="auto" w:sz="4" w:space="0"/>
              <w:bottom w:val="single" w:color="auto" w:sz="4" w:space="0"/>
              <w:right w:val="single" w:color="auto" w:sz="4" w:space="0"/>
            </w:tcBorders>
            <w:vAlign w:val="top"/>
          </w:tcPr>
          <w:p>
            <w:pPr>
              <w:spacing w:line="360" w:lineRule="auto"/>
              <w:rPr>
                <w:rFonts w:eastAsia="楷体_GB2312"/>
                <w:b/>
                <w:sz w:val="28"/>
              </w:rPr>
            </w:pPr>
          </w:p>
          <w:p>
            <w:pPr>
              <w:spacing w:line="360" w:lineRule="auto"/>
              <w:rPr>
                <w:rFonts w:eastAsia="楷体_GB2312"/>
                <w:b/>
                <w:sz w:val="28"/>
              </w:rPr>
            </w:pPr>
            <w:r>
              <w:rPr>
                <w:rFonts w:hint="eastAsia" w:ascii="新宋体" w:hAnsi="新宋体" w:eastAsia="新宋体" w:cs="新宋体"/>
                <w:b/>
                <w:sz w:val="28"/>
              </w:rPr>
              <w:t>竞标内容</w:t>
            </w:r>
          </w:p>
          <w:p>
            <w:pPr>
              <w:spacing w:line="360" w:lineRule="auto"/>
              <w:rPr>
                <w:rFonts w:eastAsia="楷体_GB2312"/>
                <w:b/>
                <w:sz w:val="28"/>
              </w:rPr>
            </w:pPr>
          </w:p>
        </w:tc>
        <w:tc>
          <w:tcPr>
            <w:tcW w:w="9568" w:type="dxa"/>
            <w:tcBorders>
              <w:top w:val="single" w:color="auto" w:sz="4" w:space="0"/>
              <w:left w:val="single" w:color="auto" w:sz="4" w:space="0"/>
              <w:bottom w:val="single" w:color="auto" w:sz="4" w:space="0"/>
              <w:right w:val="single" w:color="auto" w:sz="4" w:space="0"/>
            </w:tcBorders>
            <w:vAlign w:val="top"/>
          </w:tcPr>
          <w:p>
            <w:pPr>
              <w:spacing w:line="360" w:lineRule="auto"/>
              <w:rPr>
                <w:rFonts w:eastAsia="楷体_GB2312"/>
                <w:b/>
                <w:sz w:val="28"/>
              </w:rPr>
            </w:pPr>
          </w:p>
          <w:p>
            <w:pPr>
              <w:spacing w:line="360" w:lineRule="auto"/>
              <w:rPr>
                <w:rFonts w:eastAsia="楷体_GB2312"/>
                <w:b/>
                <w:sz w:val="28"/>
              </w:rPr>
            </w:pPr>
          </w:p>
          <w:p>
            <w:pPr>
              <w:spacing w:line="360" w:lineRule="auto"/>
              <w:rPr>
                <w:rFonts w:eastAsia="楷体_GB2312"/>
                <w:b/>
                <w:sz w:val="28"/>
              </w:rPr>
            </w:pPr>
          </w:p>
          <w:p>
            <w:pPr>
              <w:spacing w:line="360" w:lineRule="auto"/>
              <w:rPr>
                <w:rFonts w:eastAsia="楷体_GB2312"/>
                <w:b/>
                <w:sz w:val="28"/>
              </w:rPr>
            </w:pPr>
          </w:p>
          <w:p>
            <w:pPr>
              <w:spacing w:line="360" w:lineRule="auto"/>
              <w:rPr>
                <w:rFonts w:eastAsia="楷体_GB2312"/>
                <w:b/>
                <w:sz w:val="28"/>
              </w:rPr>
            </w:pPr>
          </w:p>
          <w:p>
            <w:pPr>
              <w:spacing w:line="360" w:lineRule="auto"/>
              <w:rPr>
                <w:rFonts w:hint="eastAsia" w:eastAsia="楷体_GB2312"/>
                <w:b/>
                <w:sz w:val="28"/>
              </w:rPr>
            </w:pPr>
            <w:r>
              <w:rPr>
                <w:rFonts w:hint="eastAsia" w:eastAsia="楷体_GB2312"/>
                <w:b/>
                <w:sz w:val="28"/>
              </w:rPr>
              <w:t xml:space="preserve">                                           专家组长签名：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56" w:hRule="atLeast"/>
        </w:trPr>
        <w:tc>
          <w:tcPr>
            <w:tcW w:w="532" w:type="dxa"/>
            <w:tcBorders>
              <w:top w:val="single" w:color="auto" w:sz="4" w:space="0"/>
              <w:left w:val="single" w:color="auto" w:sz="4" w:space="0"/>
              <w:bottom w:val="single" w:color="auto" w:sz="4" w:space="0"/>
              <w:right w:val="single" w:color="auto" w:sz="4" w:space="0"/>
            </w:tcBorders>
            <w:vAlign w:val="top"/>
          </w:tcPr>
          <w:p>
            <w:pPr>
              <w:spacing w:line="360" w:lineRule="auto"/>
              <w:rPr>
                <w:rFonts w:eastAsia="楷体_GB2312"/>
                <w:b/>
                <w:sz w:val="28"/>
              </w:rPr>
            </w:pPr>
          </w:p>
          <w:p>
            <w:pPr>
              <w:spacing w:line="360" w:lineRule="auto"/>
              <w:rPr>
                <w:rFonts w:eastAsia="楷体_GB2312"/>
                <w:b/>
                <w:sz w:val="28"/>
              </w:rPr>
            </w:pPr>
          </w:p>
          <w:p>
            <w:pPr>
              <w:spacing w:line="360" w:lineRule="auto"/>
              <w:rPr>
                <w:rFonts w:eastAsia="楷体_GB2312"/>
                <w:b/>
                <w:sz w:val="28"/>
              </w:rPr>
            </w:pPr>
          </w:p>
          <w:p>
            <w:pPr>
              <w:spacing w:line="360" w:lineRule="auto"/>
              <w:rPr>
                <w:rFonts w:eastAsia="楷体_GB2312"/>
                <w:b/>
                <w:sz w:val="28"/>
              </w:rPr>
            </w:pPr>
            <w:r>
              <w:rPr>
                <w:rFonts w:hint="eastAsia" w:eastAsia="楷体_GB2312"/>
                <w:b/>
                <w:sz w:val="28"/>
              </w:rPr>
              <w:t>承诺内容</w:t>
            </w:r>
          </w:p>
          <w:p>
            <w:pPr>
              <w:spacing w:line="360" w:lineRule="auto"/>
              <w:rPr>
                <w:rFonts w:eastAsia="楷体_GB2312"/>
                <w:b/>
                <w:sz w:val="28"/>
              </w:rPr>
            </w:pPr>
            <w:r>
              <w:rPr>
                <w:rFonts w:eastAsia="楷体_GB2312"/>
                <w:b/>
                <w:sz w:val="28"/>
              </w:rPr>
              <w:t xml:space="preserve">                          </w:t>
            </w:r>
          </w:p>
          <w:p>
            <w:pPr>
              <w:jc w:val="center"/>
              <w:rPr>
                <w:rFonts w:eastAsia="楷体_GB2312"/>
                <w:b/>
                <w:sz w:val="28"/>
              </w:rPr>
            </w:pPr>
            <w:r>
              <w:rPr>
                <w:rFonts w:eastAsia="楷体_GB2312"/>
                <w:b/>
                <w:sz w:val="28"/>
              </w:rPr>
              <w:t xml:space="preserve">       </w:t>
            </w:r>
          </w:p>
          <w:p>
            <w:pPr>
              <w:spacing w:line="400" w:lineRule="exact"/>
              <w:jc w:val="center"/>
              <w:rPr>
                <w:rFonts w:eastAsia="楷体_GB2312"/>
                <w:b/>
                <w:sz w:val="28"/>
              </w:rPr>
            </w:pPr>
            <w:r>
              <w:rPr>
                <w:rFonts w:eastAsia="楷体_GB2312"/>
                <w:b/>
                <w:sz w:val="28"/>
              </w:rPr>
              <w:t xml:space="preserve"> </w:t>
            </w:r>
          </w:p>
          <w:p>
            <w:pPr>
              <w:spacing w:line="400" w:lineRule="exact"/>
              <w:jc w:val="center"/>
              <w:rPr>
                <w:rFonts w:eastAsia="楷体_GB2312"/>
                <w:b/>
                <w:sz w:val="28"/>
              </w:rPr>
            </w:pPr>
            <w:r>
              <w:rPr>
                <w:rFonts w:hint="eastAsia" w:eastAsia="楷体_GB2312"/>
                <w:b/>
                <w:sz w:val="28"/>
              </w:rPr>
              <w:t xml:space="preserve">                   </w:t>
            </w:r>
          </w:p>
          <w:p>
            <w:pPr>
              <w:spacing w:line="400" w:lineRule="exact"/>
              <w:ind w:firstLine="5622" w:firstLineChars="2000"/>
              <w:rPr>
                <w:rFonts w:eastAsia="楷体_GB2312"/>
                <w:b/>
                <w:sz w:val="28"/>
              </w:rPr>
            </w:pPr>
            <w:r>
              <w:rPr>
                <w:rFonts w:hint="eastAsia" w:eastAsia="楷体_GB2312"/>
                <w:b/>
                <w:sz w:val="28"/>
              </w:rPr>
              <w:t>时</w:t>
            </w:r>
          </w:p>
        </w:tc>
        <w:tc>
          <w:tcPr>
            <w:tcW w:w="956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楷体_GB2312"/>
                <w:b/>
                <w:sz w:val="28"/>
              </w:rPr>
            </w:pPr>
          </w:p>
          <w:p>
            <w:pPr>
              <w:spacing w:line="400" w:lineRule="exact"/>
              <w:jc w:val="center"/>
              <w:rPr>
                <w:rFonts w:eastAsia="楷体_GB2312"/>
                <w:b/>
                <w:sz w:val="28"/>
              </w:rPr>
            </w:pPr>
          </w:p>
          <w:p>
            <w:pPr>
              <w:spacing w:line="400" w:lineRule="exact"/>
              <w:jc w:val="center"/>
              <w:rPr>
                <w:rFonts w:eastAsia="楷体_GB2312"/>
                <w:b/>
                <w:sz w:val="28"/>
              </w:rPr>
            </w:pPr>
          </w:p>
          <w:p>
            <w:pPr>
              <w:spacing w:line="400" w:lineRule="exact"/>
              <w:jc w:val="center"/>
              <w:rPr>
                <w:rFonts w:eastAsia="楷体_GB2312"/>
                <w:b/>
                <w:sz w:val="28"/>
              </w:rPr>
            </w:pPr>
          </w:p>
          <w:p>
            <w:pPr>
              <w:spacing w:line="400" w:lineRule="exact"/>
              <w:jc w:val="center"/>
              <w:rPr>
                <w:rFonts w:eastAsia="楷体_GB2312"/>
                <w:b/>
                <w:sz w:val="28"/>
              </w:rPr>
            </w:pPr>
          </w:p>
          <w:p>
            <w:pPr>
              <w:spacing w:line="400" w:lineRule="exact"/>
              <w:jc w:val="center"/>
              <w:rPr>
                <w:rFonts w:eastAsia="楷体_GB2312"/>
                <w:b/>
                <w:sz w:val="28"/>
              </w:rPr>
            </w:pPr>
          </w:p>
          <w:p>
            <w:pPr>
              <w:spacing w:line="400" w:lineRule="exact"/>
              <w:rPr>
                <w:rFonts w:eastAsia="楷体_GB2312"/>
                <w:b/>
                <w:sz w:val="28"/>
              </w:rPr>
            </w:pPr>
          </w:p>
          <w:p>
            <w:pPr>
              <w:spacing w:line="400" w:lineRule="exact"/>
              <w:jc w:val="center"/>
              <w:rPr>
                <w:rFonts w:eastAsia="楷体_GB2312"/>
                <w:b/>
                <w:sz w:val="28"/>
              </w:rPr>
            </w:pPr>
          </w:p>
          <w:p>
            <w:pPr>
              <w:spacing w:line="400" w:lineRule="exact"/>
              <w:rPr>
                <w:rFonts w:hint="eastAsia" w:eastAsia="楷体_GB2312"/>
                <w:b/>
                <w:color w:val="0000FF"/>
                <w:sz w:val="28"/>
              </w:rPr>
            </w:pPr>
            <w:r>
              <w:rPr>
                <w:rFonts w:hint="eastAsia" w:eastAsia="楷体_GB2312"/>
                <w:b/>
                <w:sz w:val="28"/>
              </w:rPr>
              <w:t xml:space="preserve">    </w:t>
            </w:r>
            <w:r>
              <w:rPr>
                <w:rFonts w:hint="eastAsia" w:eastAsia="楷体_GB2312"/>
                <w:b/>
                <w:color w:val="0000FF"/>
                <w:sz w:val="28"/>
              </w:rPr>
              <w:t>（此表不</w:t>
            </w:r>
            <w:r>
              <w:rPr>
                <w:rFonts w:hint="eastAsia" w:eastAsia="楷体_GB2312"/>
                <w:b/>
                <w:color w:val="0000FF"/>
                <w:sz w:val="28"/>
                <w:lang w:eastAsia="zh-CN"/>
              </w:rPr>
              <w:t>需</w:t>
            </w:r>
            <w:r>
              <w:rPr>
                <w:rFonts w:hint="eastAsia" w:eastAsia="楷体_GB2312"/>
                <w:b/>
                <w:color w:val="0000FF"/>
                <w:sz w:val="28"/>
              </w:rPr>
              <w:t>放入投标书中，是否开展逐轮竞标由专家组评审确定）</w:t>
            </w:r>
          </w:p>
          <w:p>
            <w:pPr>
              <w:spacing w:line="400" w:lineRule="exact"/>
              <w:rPr>
                <w:rFonts w:eastAsia="楷体_GB2312"/>
                <w:b/>
                <w:sz w:val="28"/>
              </w:rPr>
            </w:pPr>
          </w:p>
          <w:p>
            <w:pPr>
              <w:spacing w:line="400" w:lineRule="exact"/>
              <w:jc w:val="center"/>
              <w:rPr>
                <w:rFonts w:eastAsia="楷体_GB2312"/>
                <w:b/>
                <w:sz w:val="28"/>
              </w:rPr>
            </w:pPr>
          </w:p>
          <w:p>
            <w:pPr>
              <w:spacing w:line="400" w:lineRule="exact"/>
              <w:ind w:firstLine="3935" w:firstLineChars="1400"/>
              <w:rPr>
                <w:rFonts w:eastAsia="楷体_GB2312"/>
                <w:b/>
                <w:sz w:val="28"/>
              </w:rPr>
            </w:pPr>
          </w:p>
          <w:p>
            <w:pPr>
              <w:spacing w:line="400" w:lineRule="exact"/>
              <w:ind w:firstLine="3935" w:firstLineChars="1400"/>
              <w:rPr>
                <w:rFonts w:eastAsia="楷体_GB2312"/>
                <w:b/>
                <w:sz w:val="28"/>
              </w:rPr>
            </w:pPr>
          </w:p>
          <w:p>
            <w:pPr>
              <w:spacing w:line="400" w:lineRule="exact"/>
              <w:ind w:firstLine="3907" w:firstLineChars="1390"/>
              <w:rPr>
                <w:rFonts w:eastAsia="楷体_GB2312"/>
                <w:b/>
                <w:sz w:val="28"/>
              </w:rPr>
            </w:pPr>
          </w:p>
          <w:p>
            <w:pPr>
              <w:spacing w:line="400" w:lineRule="exact"/>
              <w:ind w:firstLine="3907" w:firstLineChars="1390"/>
              <w:rPr>
                <w:rFonts w:eastAsia="楷体_GB2312"/>
                <w:b/>
                <w:sz w:val="28"/>
              </w:rPr>
            </w:pPr>
          </w:p>
          <w:p>
            <w:pPr>
              <w:spacing w:line="400" w:lineRule="exact"/>
              <w:ind w:firstLine="3907" w:firstLineChars="1390"/>
              <w:rPr>
                <w:rFonts w:eastAsia="楷体_GB2312"/>
                <w:b/>
                <w:sz w:val="28"/>
              </w:rPr>
            </w:pPr>
          </w:p>
          <w:p>
            <w:pPr>
              <w:spacing w:line="400" w:lineRule="exact"/>
              <w:ind w:firstLine="3907" w:firstLineChars="1390"/>
              <w:rPr>
                <w:rFonts w:eastAsia="楷体_GB2312"/>
                <w:b/>
                <w:sz w:val="28"/>
              </w:rPr>
            </w:pPr>
          </w:p>
          <w:p>
            <w:pPr>
              <w:spacing w:line="400" w:lineRule="exact"/>
              <w:ind w:firstLine="3907" w:firstLineChars="1390"/>
              <w:rPr>
                <w:rFonts w:eastAsia="楷体_GB2312"/>
                <w:b/>
                <w:sz w:val="28"/>
              </w:rPr>
            </w:pPr>
          </w:p>
          <w:p>
            <w:pPr>
              <w:spacing w:line="400" w:lineRule="exact"/>
              <w:ind w:firstLine="3935" w:firstLineChars="1400"/>
              <w:rPr>
                <w:rFonts w:eastAsia="楷体_GB2312"/>
                <w:b/>
                <w:sz w:val="28"/>
              </w:rPr>
            </w:pPr>
            <w:r>
              <w:rPr>
                <w:rFonts w:hint="eastAsia" w:eastAsia="楷体_GB2312"/>
                <w:b/>
                <w:sz w:val="28"/>
              </w:rPr>
              <w:t>单位名称：</w:t>
            </w:r>
          </w:p>
          <w:p>
            <w:pPr>
              <w:spacing w:line="400" w:lineRule="exact"/>
              <w:ind w:firstLine="2361" w:firstLineChars="840"/>
              <w:rPr>
                <w:rFonts w:eastAsia="楷体_GB2312"/>
                <w:b/>
                <w:sz w:val="28"/>
              </w:rPr>
            </w:pPr>
            <w:r>
              <w:rPr>
                <w:rFonts w:hint="eastAsia" w:eastAsia="楷体_GB2312"/>
                <w:b/>
                <w:sz w:val="28"/>
              </w:rPr>
              <w:t xml:space="preserve">           承诺人：</w:t>
            </w:r>
          </w:p>
          <w:p>
            <w:pPr>
              <w:spacing w:line="400" w:lineRule="exact"/>
              <w:ind w:firstLine="3907" w:firstLineChars="1390"/>
              <w:rPr>
                <w:rFonts w:eastAsia="楷体_GB2312"/>
                <w:b/>
                <w:sz w:val="28"/>
              </w:rPr>
            </w:pPr>
            <w:r>
              <w:rPr>
                <w:rFonts w:hint="eastAsia" w:eastAsia="楷体_GB2312"/>
                <w:b/>
                <w:sz w:val="28"/>
              </w:rPr>
              <w:t>时</w:t>
            </w:r>
            <w:r>
              <w:rPr>
                <w:rFonts w:eastAsia="楷体_GB2312"/>
                <w:b/>
                <w:sz w:val="28"/>
              </w:rPr>
              <w:t xml:space="preserve">  </w:t>
            </w:r>
            <w:r>
              <w:rPr>
                <w:rFonts w:hint="eastAsia" w:eastAsia="楷体_GB2312"/>
                <w:b/>
                <w:sz w:val="28"/>
              </w:rPr>
              <w:t>间：2015年</w:t>
            </w:r>
            <w:r>
              <w:rPr>
                <w:rFonts w:eastAsia="楷体_GB2312"/>
                <w:b/>
                <w:sz w:val="28"/>
              </w:rPr>
              <w:t xml:space="preserve">   </w:t>
            </w:r>
            <w:r>
              <w:rPr>
                <w:rFonts w:hint="eastAsia" w:eastAsia="楷体_GB2312"/>
                <w:b/>
                <w:sz w:val="28"/>
              </w:rPr>
              <w:t>月</w:t>
            </w:r>
            <w:r>
              <w:rPr>
                <w:rFonts w:eastAsia="楷体_GB2312"/>
                <w:b/>
                <w:sz w:val="28"/>
              </w:rPr>
              <w:t xml:space="preserve"> </w:t>
            </w:r>
            <w:r>
              <w:rPr>
                <w:rFonts w:hint="eastAsia" w:eastAsia="楷体_GB2312"/>
                <w:b/>
                <w:sz w:val="28"/>
              </w:rPr>
              <w:t xml:space="preserve">  日    时</w:t>
            </w:r>
            <w:r>
              <w:rPr>
                <w:rFonts w:eastAsia="楷体_GB2312"/>
                <w:b/>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1010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eastAsia="楷体_GB2312"/>
                <w:b/>
                <w:sz w:val="28"/>
              </w:rPr>
            </w:pPr>
            <w:r>
              <w:rPr>
                <w:rFonts w:hint="eastAsia" w:ascii="新宋体" w:hAnsi="新宋体" w:eastAsia="新宋体" w:cs="新宋体"/>
                <w:b/>
                <w:szCs w:val="21"/>
              </w:rPr>
              <w:t>注：投标人如以非现金让利的必须写明项目的名称、品牌型号或规格、数量，以及体现其价值的内容承诺，同时必须写明各项非现金让利承诺换算成人民币的价值金额及总额，以便专家评审认定。未填写完全使专家不能评判的非现金让利承诺，有可能在本轮竞标中不予认可。</w:t>
            </w:r>
          </w:p>
        </w:tc>
      </w:tr>
    </w:tbl>
    <w:p>
      <w:pPr>
        <w:pStyle w:val="5"/>
        <w:spacing w:before="156" w:beforeLines="50" w:line="360" w:lineRule="auto"/>
        <w:jc w:val="both"/>
        <w:rPr>
          <w:rFonts w:hint="eastAsia" w:ascii="新宋体" w:hAnsi="新宋体" w:eastAsia="新宋体" w:cs="新宋体"/>
          <w:color w:val="000000"/>
          <w:sz w:val="36"/>
          <w:szCs w:val="24"/>
        </w:rPr>
      </w:pPr>
      <w:r>
        <w:rPr>
          <w:rFonts w:hint="eastAsia" w:ascii="新宋体" w:hAnsi="新宋体" w:eastAsia="新宋体" w:cs="新宋体"/>
          <w:b/>
          <w:bCs/>
          <w:color w:val="000000"/>
          <w:sz w:val="36"/>
          <w:szCs w:val="48"/>
          <w:lang w:val="en-US" w:eastAsia="zh-CN"/>
        </w:rPr>
        <w:t xml:space="preserve">          </w:t>
      </w:r>
      <w:r>
        <w:rPr>
          <w:rFonts w:hint="eastAsia" w:ascii="新宋体" w:hAnsi="新宋体" w:eastAsia="新宋体" w:cs="新宋体"/>
          <w:b/>
          <w:bCs/>
          <w:color w:val="000000"/>
          <w:sz w:val="36"/>
          <w:szCs w:val="48"/>
        </w:rPr>
        <w:t>第八章、义乌市政府采购合同（样本）</w:t>
      </w:r>
    </w:p>
    <w:p>
      <w:pPr>
        <w:pStyle w:val="5"/>
        <w:spacing w:line="440" w:lineRule="exact"/>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供方：</w:t>
      </w:r>
      <w:r>
        <w:rPr>
          <w:rFonts w:hint="eastAsia" w:ascii="新宋体" w:hAnsi="新宋体" w:eastAsia="新宋体" w:cs="新宋体"/>
          <w:color w:val="000000"/>
          <w:sz w:val="24"/>
          <w:szCs w:val="24"/>
          <w:u w:val="single"/>
        </w:rPr>
        <w:t xml:space="preserve">                                   </w:t>
      </w:r>
    </w:p>
    <w:p>
      <w:pPr>
        <w:pStyle w:val="5"/>
        <w:spacing w:line="440" w:lineRule="exact"/>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需方：</w:t>
      </w:r>
      <w:r>
        <w:rPr>
          <w:rFonts w:hint="eastAsia" w:ascii="新宋体" w:hAnsi="新宋体" w:eastAsia="新宋体" w:cs="新宋体"/>
          <w:color w:val="000000"/>
          <w:sz w:val="24"/>
          <w:szCs w:val="24"/>
          <w:u w:val="single"/>
        </w:rPr>
        <w:t xml:space="preserve">                                               </w:t>
      </w:r>
    </w:p>
    <w:p>
      <w:pPr>
        <w:pStyle w:val="5"/>
        <w:spacing w:line="440" w:lineRule="exact"/>
        <w:ind w:firstLine="449" w:firstLineChars="187"/>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供、需双方根据</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日义乌市</w:t>
      </w:r>
      <w:r>
        <w:rPr>
          <w:rFonts w:hint="eastAsia" w:ascii="新宋体" w:hAnsi="新宋体" w:eastAsia="新宋体" w:cs="新宋体"/>
          <w:color w:val="000000"/>
          <w:sz w:val="24"/>
          <w:szCs w:val="32"/>
          <w:u w:val="single"/>
        </w:rPr>
        <w:t xml:space="preserve">                                </w:t>
      </w:r>
      <w:r>
        <w:rPr>
          <w:rFonts w:hint="eastAsia" w:ascii="新宋体" w:hAnsi="新宋体" w:eastAsia="新宋体" w:cs="新宋体"/>
          <w:color w:val="000000"/>
          <w:sz w:val="24"/>
          <w:szCs w:val="24"/>
        </w:rPr>
        <w:t>项目(采购编号：</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)招标结果和招标文件的要求，并经双方协商一致，订立本采购合同。</w:t>
      </w:r>
    </w:p>
    <w:p>
      <w:pPr>
        <w:pStyle w:val="5"/>
        <w:spacing w:line="440" w:lineRule="exact"/>
        <w:ind w:firstLine="547" w:firstLineChars="228"/>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一、合同文件：招标文件、投标文件、开标、询标、评标等记录的所有内容是构成本合同不可分割的部分。</w:t>
      </w:r>
    </w:p>
    <w:p>
      <w:pPr>
        <w:pStyle w:val="5"/>
        <w:spacing w:line="440" w:lineRule="exact"/>
        <w:ind w:left="239" w:leftChars="114" w:firstLine="240" w:firstLineChars="1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二、合同金额:</w:t>
      </w:r>
      <w:r>
        <w:rPr>
          <w:rFonts w:hint="eastAsia" w:ascii="新宋体" w:hAnsi="新宋体" w:eastAsia="新宋体" w:cs="新宋体"/>
          <w:b/>
          <w:bCs/>
          <w:color w:val="000000"/>
          <w:sz w:val="24"/>
          <w:szCs w:val="24"/>
          <w:u w:val="single"/>
        </w:rPr>
        <w:t xml:space="preserve">                               </w:t>
      </w:r>
      <w:r>
        <w:rPr>
          <w:rFonts w:hint="eastAsia" w:ascii="新宋体" w:hAnsi="新宋体" w:eastAsia="新宋体" w:cs="新宋体"/>
          <w:color w:val="000000"/>
          <w:sz w:val="24"/>
          <w:szCs w:val="24"/>
          <w:u w:val="single"/>
        </w:rPr>
        <w:t>（</w:t>
      </w:r>
      <w:r>
        <w:rPr>
          <w:rFonts w:hint="eastAsia" w:ascii="新宋体" w:hAnsi="新宋体" w:eastAsia="新宋体" w:cs="新宋体"/>
          <w:color w:val="000000"/>
          <w:sz w:val="24"/>
          <w:szCs w:val="24"/>
        </w:rPr>
        <w:t>价款以人民币进行结算，大写）。</w:t>
      </w:r>
      <w:r>
        <w:rPr>
          <w:rFonts w:hint="eastAsia" w:ascii="新宋体" w:hAnsi="新宋体" w:eastAsia="新宋体" w:cs="新宋体"/>
          <w:color w:val="000000"/>
          <w:sz w:val="24"/>
        </w:rPr>
        <w:t>包括</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等一切费用</w:t>
      </w:r>
      <w:r>
        <w:rPr>
          <w:rFonts w:hint="eastAsia" w:ascii="新宋体" w:hAnsi="新宋体" w:eastAsia="新宋体" w:cs="新宋体"/>
          <w:color w:val="000000"/>
          <w:sz w:val="24"/>
          <w:szCs w:val="24"/>
        </w:rPr>
        <w:t>。</w:t>
      </w:r>
    </w:p>
    <w:p>
      <w:pPr>
        <w:pStyle w:val="5"/>
        <w:spacing w:line="440" w:lineRule="exact"/>
        <w:ind w:firstLine="547" w:firstLineChars="228"/>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三、合同双方确认，本合同及合同约定的其它文件组成部分中的各项约定都是通过法定招标过程形成的合法成果，不存在与招标文件和供方投标文件实质性内容不一致的条款。如果存在任何此类不一致的条款，也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Style w:val="5"/>
        <w:spacing w:line="440" w:lineRule="exact"/>
        <w:rPr>
          <w:rFonts w:hint="eastAsia" w:ascii="新宋体" w:hAnsi="新宋体" w:eastAsia="新宋体" w:cs="新宋体"/>
          <w:b/>
          <w:bCs/>
          <w:color w:val="000000"/>
          <w:sz w:val="24"/>
          <w:szCs w:val="24"/>
        </w:rPr>
      </w:pPr>
      <w:r>
        <w:rPr>
          <w:rFonts w:hint="eastAsia" w:ascii="新宋体" w:hAnsi="新宋体" w:eastAsia="新宋体" w:cs="新宋体"/>
          <w:color w:val="000000"/>
          <w:sz w:val="24"/>
          <w:szCs w:val="24"/>
        </w:rPr>
        <w:t xml:space="preserve">       </w:t>
      </w:r>
      <w:r>
        <w:rPr>
          <w:rFonts w:hint="eastAsia" w:ascii="新宋体" w:hAnsi="新宋体" w:eastAsia="新宋体" w:cs="新宋体"/>
          <w:b/>
          <w:bCs/>
          <w:color w:val="000000"/>
          <w:sz w:val="24"/>
          <w:szCs w:val="24"/>
        </w:rPr>
        <w:t>附：</w:t>
      </w:r>
      <w:r>
        <w:rPr>
          <w:rFonts w:hint="eastAsia" w:ascii="新宋体" w:hAnsi="新宋体" w:eastAsia="新宋体" w:cs="新宋体"/>
          <w:b/>
          <w:bCs/>
          <w:color w:val="000000"/>
          <w:sz w:val="24"/>
        </w:rPr>
        <w:t>详 细  价 格 清 单</w:t>
      </w:r>
    </w:p>
    <w:tbl>
      <w:tblPr>
        <w:tblStyle w:val="1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0"/>
        <w:gridCol w:w="2100"/>
        <w:gridCol w:w="1129"/>
        <w:gridCol w:w="136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pStyle w:val="5"/>
              <w:spacing w:line="44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序号</w:t>
            </w:r>
          </w:p>
        </w:tc>
        <w:tc>
          <w:tcPr>
            <w:tcW w:w="2070" w:type="dxa"/>
            <w:vAlign w:val="center"/>
          </w:tcPr>
          <w:p>
            <w:pPr>
              <w:pStyle w:val="5"/>
              <w:spacing w:line="44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货物名称</w:t>
            </w:r>
          </w:p>
        </w:tc>
        <w:tc>
          <w:tcPr>
            <w:tcW w:w="2100" w:type="dxa"/>
            <w:vAlign w:val="center"/>
          </w:tcPr>
          <w:p>
            <w:pPr>
              <w:pStyle w:val="5"/>
              <w:spacing w:line="44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产地规格型号</w:t>
            </w:r>
          </w:p>
        </w:tc>
        <w:tc>
          <w:tcPr>
            <w:tcW w:w="1129" w:type="dxa"/>
            <w:vAlign w:val="top"/>
          </w:tcPr>
          <w:p>
            <w:pPr>
              <w:pStyle w:val="5"/>
              <w:spacing w:line="44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数量</w:t>
            </w:r>
          </w:p>
        </w:tc>
        <w:tc>
          <w:tcPr>
            <w:tcW w:w="1361" w:type="dxa"/>
            <w:vAlign w:val="center"/>
          </w:tcPr>
          <w:p>
            <w:pPr>
              <w:pStyle w:val="5"/>
              <w:spacing w:line="44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单价（元）</w:t>
            </w:r>
          </w:p>
        </w:tc>
        <w:tc>
          <w:tcPr>
            <w:tcW w:w="1980" w:type="dxa"/>
            <w:vAlign w:val="center"/>
          </w:tcPr>
          <w:p>
            <w:pPr>
              <w:pStyle w:val="5"/>
              <w:spacing w:line="44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pStyle w:val="5"/>
              <w:spacing w:line="440" w:lineRule="exact"/>
              <w:jc w:val="center"/>
              <w:rPr>
                <w:rFonts w:hint="eastAsia" w:ascii="新宋体" w:hAnsi="新宋体" w:eastAsia="新宋体" w:cs="新宋体"/>
                <w:b/>
                <w:bCs/>
                <w:color w:val="000000"/>
                <w:sz w:val="24"/>
                <w:szCs w:val="24"/>
              </w:rPr>
            </w:pPr>
          </w:p>
        </w:tc>
        <w:tc>
          <w:tcPr>
            <w:tcW w:w="2070" w:type="dxa"/>
            <w:vAlign w:val="center"/>
          </w:tcPr>
          <w:p>
            <w:pPr>
              <w:pStyle w:val="5"/>
              <w:spacing w:line="440" w:lineRule="exact"/>
              <w:jc w:val="center"/>
              <w:rPr>
                <w:rFonts w:hint="eastAsia" w:ascii="新宋体" w:hAnsi="新宋体" w:eastAsia="新宋体" w:cs="新宋体"/>
                <w:color w:val="000000"/>
                <w:sz w:val="24"/>
                <w:szCs w:val="24"/>
              </w:rPr>
            </w:pPr>
          </w:p>
        </w:tc>
        <w:tc>
          <w:tcPr>
            <w:tcW w:w="2100" w:type="dxa"/>
            <w:vAlign w:val="center"/>
          </w:tcPr>
          <w:p>
            <w:pPr>
              <w:pStyle w:val="5"/>
              <w:spacing w:line="440" w:lineRule="exact"/>
              <w:jc w:val="center"/>
              <w:rPr>
                <w:rFonts w:hint="eastAsia" w:ascii="新宋体" w:hAnsi="新宋体" w:eastAsia="新宋体" w:cs="新宋体"/>
                <w:color w:val="000000"/>
                <w:sz w:val="24"/>
                <w:szCs w:val="24"/>
              </w:rPr>
            </w:pPr>
          </w:p>
        </w:tc>
        <w:tc>
          <w:tcPr>
            <w:tcW w:w="1129" w:type="dxa"/>
            <w:vAlign w:val="top"/>
          </w:tcPr>
          <w:p>
            <w:pPr>
              <w:pStyle w:val="5"/>
              <w:spacing w:line="440" w:lineRule="exact"/>
              <w:jc w:val="center"/>
              <w:rPr>
                <w:rFonts w:hint="eastAsia" w:ascii="新宋体" w:hAnsi="新宋体" w:eastAsia="新宋体" w:cs="新宋体"/>
                <w:b/>
                <w:bCs/>
                <w:color w:val="000000"/>
                <w:sz w:val="24"/>
                <w:szCs w:val="24"/>
              </w:rPr>
            </w:pPr>
          </w:p>
        </w:tc>
        <w:tc>
          <w:tcPr>
            <w:tcW w:w="1361" w:type="dxa"/>
            <w:vAlign w:val="center"/>
          </w:tcPr>
          <w:p>
            <w:pPr>
              <w:pStyle w:val="5"/>
              <w:spacing w:line="440" w:lineRule="exact"/>
              <w:jc w:val="center"/>
              <w:rPr>
                <w:rFonts w:hint="eastAsia" w:ascii="新宋体" w:hAnsi="新宋体" w:eastAsia="新宋体" w:cs="新宋体"/>
                <w:color w:val="000000"/>
                <w:sz w:val="24"/>
                <w:szCs w:val="24"/>
              </w:rPr>
            </w:pPr>
          </w:p>
        </w:tc>
        <w:tc>
          <w:tcPr>
            <w:tcW w:w="1980" w:type="dxa"/>
            <w:vAlign w:val="center"/>
          </w:tcPr>
          <w:p>
            <w:pPr>
              <w:pStyle w:val="5"/>
              <w:spacing w:line="440" w:lineRule="exact"/>
              <w:jc w:val="center"/>
              <w:rPr>
                <w:rFonts w:hint="eastAsia" w:ascii="新宋体" w:hAnsi="新宋体" w:eastAsia="新宋体" w:cs="新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pStyle w:val="5"/>
              <w:spacing w:line="440" w:lineRule="exact"/>
              <w:jc w:val="center"/>
              <w:rPr>
                <w:rFonts w:hint="eastAsia" w:ascii="新宋体" w:hAnsi="新宋体" w:eastAsia="新宋体" w:cs="新宋体"/>
                <w:b/>
                <w:bCs/>
                <w:color w:val="000000"/>
                <w:sz w:val="24"/>
                <w:szCs w:val="24"/>
              </w:rPr>
            </w:pPr>
          </w:p>
        </w:tc>
        <w:tc>
          <w:tcPr>
            <w:tcW w:w="2070" w:type="dxa"/>
            <w:vAlign w:val="center"/>
          </w:tcPr>
          <w:p>
            <w:pPr>
              <w:pStyle w:val="5"/>
              <w:spacing w:line="440" w:lineRule="exact"/>
              <w:jc w:val="center"/>
              <w:rPr>
                <w:rFonts w:hint="eastAsia" w:ascii="新宋体" w:hAnsi="新宋体" w:eastAsia="新宋体" w:cs="新宋体"/>
                <w:color w:val="000000"/>
                <w:sz w:val="24"/>
                <w:szCs w:val="24"/>
              </w:rPr>
            </w:pPr>
          </w:p>
        </w:tc>
        <w:tc>
          <w:tcPr>
            <w:tcW w:w="2100" w:type="dxa"/>
            <w:vAlign w:val="center"/>
          </w:tcPr>
          <w:p>
            <w:pPr>
              <w:pStyle w:val="5"/>
              <w:spacing w:line="440" w:lineRule="exact"/>
              <w:jc w:val="center"/>
              <w:rPr>
                <w:rFonts w:hint="eastAsia" w:ascii="新宋体" w:hAnsi="新宋体" w:eastAsia="新宋体" w:cs="新宋体"/>
                <w:color w:val="000000"/>
                <w:sz w:val="24"/>
                <w:szCs w:val="24"/>
              </w:rPr>
            </w:pPr>
          </w:p>
        </w:tc>
        <w:tc>
          <w:tcPr>
            <w:tcW w:w="1129" w:type="dxa"/>
            <w:vAlign w:val="top"/>
          </w:tcPr>
          <w:p>
            <w:pPr>
              <w:pStyle w:val="5"/>
              <w:spacing w:line="440" w:lineRule="exact"/>
              <w:jc w:val="center"/>
              <w:rPr>
                <w:rFonts w:hint="eastAsia" w:ascii="新宋体" w:hAnsi="新宋体" w:eastAsia="新宋体" w:cs="新宋体"/>
                <w:b/>
                <w:bCs/>
                <w:color w:val="000000"/>
                <w:sz w:val="24"/>
                <w:szCs w:val="24"/>
              </w:rPr>
            </w:pPr>
          </w:p>
        </w:tc>
        <w:tc>
          <w:tcPr>
            <w:tcW w:w="1361" w:type="dxa"/>
            <w:vAlign w:val="center"/>
          </w:tcPr>
          <w:p>
            <w:pPr>
              <w:pStyle w:val="5"/>
              <w:spacing w:line="440" w:lineRule="exact"/>
              <w:jc w:val="center"/>
              <w:rPr>
                <w:rFonts w:hint="eastAsia" w:ascii="新宋体" w:hAnsi="新宋体" w:eastAsia="新宋体" w:cs="新宋体"/>
                <w:b/>
                <w:bCs/>
                <w:color w:val="000000"/>
                <w:sz w:val="24"/>
                <w:szCs w:val="24"/>
              </w:rPr>
            </w:pPr>
          </w:p>
        </w:tc>
        <w:tc>
          <w:tcPr>
            <w:tcW w:w="1980" w:type="dxa"/>
            <w:vAlign w:val="center"/>
          </w:tcPr>
          <w:p>
            <w:pPr>
              <w:pStyle w:val="5"/>
              <w:spacing w:line="440" w:lineRule="exact"/>
              <w:jc w:val="center"/>
              <w:rPr>
                <w:rFonts w:hint="eastAsia" w:ascii="新宋体" w:hAnsi="新宋体" w:eastAsia="新宋体" w:cs="新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pStyle w:val="5"/>
              <w:spacing w:line="440" w:lineRule="exact"/>
              <w:jc w:val="center"/>
              <w:rPr>
                <w:rFonts w:hint="eastAsia" w:ascii="新宋体" w:hAnsi="新宋体" w:eastAsia="新宋体" w:cs="新宋体"/>
                <w:b/>
                <w:bCs/>
                <w:color w:val="000000"/>
                <w:sz w:val="24"/>
                <w:szCs w:val="24"/>
              </w:rPr>
            </w:pPr>
          </w:p>
        </w:tc>
        <w:tc>
          <w:tcPr>
            <w:tcW w:w="2070" w:type="dxa"/>
            <w:vAlign w:val="center"/>
          </w:tcPr>
          <w:p>
            <w:pPr>
              <w:pStyle w:val="5"/>
              <w:spacing w:line="440" w:lineRule="exact"/>
              <w:jc w:val="center"/>
              <w:rPr>
                <w:rFonts w:hint="eastAsia" w:ascii="新宋体" w:hAnsi="新宋体" w:eastAsia="新宋体" w:cs="新宋体"/>
                <w:color w:val="000000"/>
                <w:sz w:val="24"/>
                <w:szCs w:val="24"/>
              </w:rPr>
            </w:pPr>
          </w:p>
        </w:tc>
        <w:tc>
          <w:tcPr>
            <w:tcW w:w="2100" w:type="dxa"/>
            <w:vAlign w:val="center"/>
          </w:tcPr>
          <w:p>
            <w:pPr>
              <w:pStyle w:val="5"/>
              <w:spacing w:line="440" w:lineRule="exact"/>
              <w:jc w:val="center"/>
              <w:rPr>
                <w:rFonts w:hint="eastAsia" w:ascii="新宋体" w:hAnsi="新宋体" w:eastAsia="新宋体" w:cs="新宋体"/>
                <w:color w:val="000000"/>
                <w:sz w:val="24"/>
                <w:szCs w:val="24"/>
              </w:rPr>
            </w:pPr>
          </w:p>
        </w:tc>
        <w:tc>
          <w:tcPr>
            <w:tcW w:w="1129" w:type="dxa"/>
            <w:vAlign w:val="top"/>
          </w:tcPr>
          <w:p>
            <w:pPr>
              <w:pStyle w:val="5"/>
              <w:spacing w:line="440" w:lineRule="exact"/>
              <w:jc w:val="center"/>
              <w:rPr>
                <w:rFonts w:hint="eastAsia" w:ascii="新宋体" w:hAnsi="新宋体" w:eastAsia="新宋体" w:cs="新宋体"/>
                <w:b/>
                <w:bCs/>
                <w:color w:val="000000"/>
                <w:sz w:val="24"/>
                <w:szCs w:val="24"/>
              </w:rPr>
            </w:pPr>
          </w:p>
        </w:tc>
        <w:tc>
          <w:tcPr>
            <w:tcW w:w="1361" w:type="dxa"/>
            <w:vAlign w:val="center"/>
          </w:tcPr>
          <w:p>
            <w:pPr>
              <w:pStyle w:val="5"/>
              <w:spacing w:line="440" w:lineRule="exact"/>
              <w:jc w:val="center"/>
              <w:rPr>
                <w:rFonts w:hint="eastAsia" w:ascii="新宋体" w:hAnsi="新宋体" w:eastAsia="新宋体" w:cs="新宋体"/>
                <w:b/>
                <w:bCs/>
                <w:color w:val="000000"/>
                <w:sz w:val="24"/>
                <w:szCs w:val="24"/>
              </w:rPr>
            </w:pPr>
          </w:p>
        </w:tc>
        <w:tc>
          <w:tcPr>
            <w:tcW w:w="1980" w:type="dxa"/>
            <w:vAlign w:val="center"/>
          </w:tcPr>
          <w:p>
            <w:pPr>
              <w:pStyle w:val="5"/>
              <w:spacing w:line="440" w:lineRule="exact"/>
              <w:jc w:val="center"/>
              <w:rPr>
                <w:rFonts w:hint="eastAsia" w:ascii="新宋体" w:hAnsi="新宋体" w:eastAsia="新宋体" w:cs="新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pStyle w:val="5"/>
              <w:spacing w:line="44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合计</w:t>
            </w:r>
          </w:p>
        </w:tc>
        <w:tc>
          <w:tcPr>
            <w:tcW w:w="8640" w:type="dxa"/>
            <w:gridSpan w:val="5"/>
            <w:vAlign w:val="center"/>
          </w:tcPr>
          <w:p>
            <w:pPr>
              <w:pStyle w:val="5"/>
              <w:spacing w:line="440" w:lineRule="exact"/>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大写：</w:t>
            </w:r>
            <w:r>
              <w:rPr>
                <w:rFonts w:hint="eastAsia" w:ascii="新宋体" w:hAnsi="新宋体" w:eastAsia="新宋体" w:cs="新宋体"/>
                <w:b/>
                <w:bCs/>
                <w:color w:val="000000"/>
                <w:sz w:val="24"/>
                <w:szCs w:val="24"/>
                <w:u w:val="single"/>
              </w:rPr>
              <w:t xml:space="preserve">                                </w:t>
            </w:r>
            <w:r>
              <w:rPr>
                <w:rFonts w:hint="eastAsia" w:ascii="新宋体" w:hAnsi="新宋体" w:eastAsia="新宋体" w:cs="新宋体"/>
                <w:b/>
                <w:bCs/>
                <w:color w:val="000000"/>
                <w:sz w:val="24"/>
                <w:szCs w:val="24"/>
              </w:rPr>
              <w:t xml:space="preserve">     小写：</w:t>
            </w:r>
            <w:r>
              <w:rPr>
                <w:rFonts w:hint="eastAsia" w:ascii="新宋体" w:hAnsi="新宋体" w:eastAsia="新宋体" w:cs="新宋体"/>
                <w:b/>
                <w:bCs/>
                <w:color w:val="000000"/>
                <w:sz w:val="24"/>
                <w:szCs w:val="24"/>
                <w:u w:val="single"/>
              </w:rPr>
              <w:t xml:space="preserve">              </w:t>
            </w:r>
            <w:r>
              <w:rPr>
                <w:rFonts w:hint="eastAsia" w:ascii="新宋体" w:hAnsi="新宋体" w:eastAsia="新宋体" w:cs="新宋体"/>
                <w:b/>
                <w:bCs/>
                <w:color w:val="000000"/>
                <w:sz w:val="24"/>
                <w:szCs w:val="24"/>
              </w:rPr>
              <w:t>元</w:t>
            </w:r>
          </w:p>
        </w:tc>
      </w:tr>
    </w:tbl>
    <w:p>
      <w:pPr>
        <w:pStyle w:val="5"/>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四、设备质量要求及供方对质量负责条件和期限：</w:t>
      </w:r>
    </w:p>
    <w:p>
      <w:pPr>
        <w:pStyle w:val="5"/>
        <w:spacing w:line="440" w:lineRule="exact"/>
        <w:ind w:firstLine="54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供方提供的设备必须是现货、全新、原装(包括零部件)的，符合国家检测标准或具有中国商检部门合格证明，符合招标货物一览表中要求的规格型号和技术性能。供方对设备提供</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的质保期（设备另有质保规定的按原规定执行），质保期内非因需方的人为原因而出现质量问题的，由供方负责。供方负责包修、包换或者包退，并承担修理、调换或退货的实际费用。供方不能修理和不能调换，按不能交货处理。</w:t>
      </w:r>
    </w:p>
    <w:p>
      <w:pPr>
        <w:pStyle w:val="5"/>
        <w:spacing w:line="440" w:lineRule="exact"/>
        <w:ind w:firstLine="540"/>
        <w:rPr>
          <w:rFonts w:hint="eastAsia" w:ascii="新宋体" w:hAnsi="新宋体" w:eastAsia="新宋体" w:cs="新宋体"/>
          <w:b/>
          <w:bCs/>
          <w:color w:val="000000"/>
          <w:sz w:val="24"/>
          <w:szCs w:val="24"/>
        </w:rPr>
      </w:pPr>
      <w:r>
        <w:rPr>
          <w:rFonts w:hint="eastAsia" w:ascii="新宋体" w:hAnsi="新宋体" w:eastAsia="新宋体" w:cs="新宋体"/>
          <w:color w:val="000000"/>
          <w:sz w:val="24"/>
          <w:szCs w:val="24"/>
        </w:rPr>
        <w:t>五、交货完成时间：</w:t>
      </w:r>
      <w:r>
        <w:rPr>
          <w:rFonts w:hint="eastAsia" w:ascii="新宋体" w:hAnsi="新宋体" w:eastAsia="新宋体" w:cs="新宋体"/>
          <w:b/>
          <w:bCs/>
          <w:color w:val="000000"/>
          <w:sz w:val="24"/>
          <w:szCs w:val="24"/>
          <w:u w:val="single"/>
        </w:rPr>
        <w:t xml:space="preserve">               </w:t>
      </w:r>
      <w:r>
        <w:rPr>
          <w:rFonts w:hint="eastAsia" w:ascii="新宋体" w:hAnsi="新宋体" w:eastAsia="新宋体" w:cs="新宋体"/>
          <w:color w:val="000000"/>
          <w:sz w:val="24"/>
          <w:szCs w:val="24"/>
        </w:rPr>
        <w:t>。</w:t>
      </w:r>
      <w:r>
        <w:rPr>
          <w:rFonts w:hint="eastAsia" w:ascii="新宋体" w:hAnsi="新宋体" w:eastAsia="新宋体" w:cs="新宋体"/>
          <w:b/>
          <w:bCs/>
          <w:color w:val="000000"/>
          <w:sz w:val="24"/>
          <w:szCs w:val="24"/>
        </w:rPr>
        <w:t xml:space="preserve"> </w:t>
      </w:r>
    </w:p>
    <w:p>
      <w:pPr>
        <w:pStyle w:val="5"/>
        <w:spacing w:line="440" w:lineRule="exact"/>
        <w:ind w:firstLine="1018" w:firstLineChars="42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交货地点：</w:t>
      </w:r>
      <w:r>
        <w:rPr>
          <w:rFonts w:hint="eastAsia" w:ascii="新宋体" w:hAnsi="新宋体" w:eastAsia="新宋体" w:cs="新宋体"/>
          <w:b/>
          <w:bCs/>
          <w:color w:val="000000"/>
          <w:sz w:val="24"/>
          <w:szCs w:val="24"/>
          <w:u w:val="single"/>
        </w:rPr>
        <w:t xml:space="preserve">                       </w:t>
      </w:r>
      <w:r>
        <w:rPr>
          <w:rFonts w:hint="eastAsia" w:ascii="新宋体" w:hAnsi="新宋体" w:eastAsia="新宋体" w:cs="新宋体"/>
          <w:b/>
          <w:bCs/>
          <w:color w:val="000000"/>
          <w:sz w:val="24"/>
          <w:szCs w:val="24"/>
        </w:rPr>
        <w:t xml:space="preserve"> </w:t>
      </w:r>
      <w:r>
        <w:rPr>
          <w:rFonts w:hint="eastAsia" w:ascii="新宋体" w:hAnsi="新宋体" w:eastAsia="新宋体" w:cs="新宋体"/>
          <w:color w:val="000000"/>
          <w:sz w:val="24"/>
          <w:szCs w:val="24"/>
        </w:rPr>
        <w:t>。</w:t>
      </w:r>
    </w:p>
    <w:p>
      <w:pPr>
        <w:pStyle w:val="5"/>
        <w:spacing w:line="440" w:lineRule="exact"/>
        <w:ind w:firstLine="54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六、供方应随设备向使用单位提供货物的质保书和产地证书。</w:t>
      </w:r>
    </w:p>
    <w:p>
      <w:pPr>
        <w:pStyle w:val="5"/>
        <w:spacing w:line="440" w:lineRule="exact"/>
        <w:ind w:firstLine="540" w:firstLineChars="225"/>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七、付款方式：</w:t>
      </w:r>
    </w:p>
    <w:p>
      <w:pPr>
        <w:pStyle w:val="5"/>
        <w:spacing w:line="440" w:lineRule="exact"/>
        <w:ind w:firstLine="960" w:firstLineChars="400"/>
        <w:rPr>
          <w:rFonts w:hint="eastAsia" w:ascii="新宋体" w:hAnsi="新宋体" w:eastAsia="新宋体" w:cs="新宋体"/>
          <w:color w:val="000000"/>
          <w:sz w:val="24"/>
          <w:u w:val="single"/>
        </w:rPr>
      </w:pPr>
      <w:r>
        <w:rPr>
          <w:rFonts w:hint="eastAsia" w:ascii="新宋体" w:hAnsi="新宋体" w:eastAsia="新宋体" w:cs="新宋体"/>
          <w:color w:val="000000"/>
          <w:sz w:val="24"/>
          <w:u w:val="single"/>
        </w:rPr>
        <w:t xml:space="preserve">                                                                          </w:t>
      </w:r>
    </w:p>
    <w:p>
      <w:pPr>
        <w:pStyle w:val="5"/>
        <w:spacing w:line="440" w:lineRule="exact"/>
        <w:rPr>
          <w:rFonts w:hint="eastAsia" w:ascii="新宋体" w:hAnsi="新宋体" w:eastAsia="新宋体" w:cs="新宋体"/>
          <w:color w:val="000000"/>
          <w:sz w:val="24"/>
          <w:u w:val="single"/>
        </w:rPr>
      </w:pPr>
      <w:r>
        <w:rPr>
          <w:rFonts w:hint="eastAsia" w:ascii="新宋体" w:hAnsi="新宋体" w:eastAsia="新宋体" w:cs="新宋体"/>
          <w:color w:val="000000"/>
          <w:sz w:val="24"/>
          <w:u w:val="single"/>
        </w:rPr>
        <w:t xml:space="preserve">                                                            </w:t>
      </w:r>
    </w:p>
    <w:p>
      <w:pPr>
        <w:pStyle w:val="5"/>
        <w:spacing w:line="440" w:lineRule="exact"/>
        <w:ind w:left="1" w:firstLine="538" w:firstLineChars="22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八、违约责任：</w:t>
      </w:r>
    </w:p>
    <w:p>
      <w:pPr>
        <w:pStyle w:val="5"/>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1，采购人(使用单位)无正当理由拒收货物，拒付货款的，采购人向供应商偿付货物款总值的百分之三十违约金。</w:t>
      </w:r>
    </w:p>
    <w:p>
      <w:pPr>
        <w:pStyle w:val="5"/>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2，采购人逾期支付货款的，采购人向供应商每日偿付欠款总额千分之___（二～五）的违约金。</w:t>
      </w:r>
    </w:p>
    <w:p>
      <w:pPr>
        <w:pStyle w:val="5"/>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3，供应商所交付的品种、型号、规格、数量、质量不符合合同规定标准的，采购人有权拒绝。供应商向采购人偿付货款总额的百分之三十的违约金。</w:t>
      </w:r>
    </w:p>
    <w:p>
      <w:pPr>
        <w:pStyle w:val="5"/>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4，供应商逾期交货的，供应商向采购人每日偿付货款总额千分之___（二～五）的违约金。</w:t>
      </w:r>
    </w:p>
    <w:p>
      <w:pPr>
        <w:pStyle w:val="5"/>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5，供应商逾期三十日未能交货的，视为不能履约，则供应商向采购人支付货款总额百分之三十的违约金。</w:t>
      </w:r>
    </w:p>
    <w:p>
      <w:pPr>
        <w:pStyle w:val="5"/>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九、因货物的质量问题发生争议，由义乌市政府有关部门或其指定的技术单位进行质量鉴定，该鉴定结论是终局的，供需双方应当接受。</w:t>
      </w:r>
    </w:p>
    <w:p>
      <w:pPr>
        <w:pStyle w:val="5"/>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十、本合同项目所在地为义乌，本合同发生争议产生的诉讼，可向应向项目所在地有管辖权的法院提起诉讼或向金华市仲裁委员会仲裁。</w:t>
      </w:r>
    </w:p>
    <w:p>
      <w:pPr>
        <w:pStyle w:val="5"/>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十一、本合同一式八份，供需双方各执三份，义乌市公共资源交易管理办公室和义乌市政府采购中心各执一份，均具同等效力。</w:t>
      </w:r>
    </w:p>
    <w:p>
      <w:pPr>
        <w:pStyle w:val="5"/>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十二、本合同未尽事宜，双方可以增加条款或补充协议的形式加以补充,但增加或补充协议的条款不得对招标文件作实质性修改。补充协议与本合同具有相同的法律效力。</w:t>
      </w:r>
    </w:p>
    <w:p>
      <w:pPr>
        <w:pStyle w:val="5"/>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十三、中标后，若中标单位投标文件与招标文件要求不一致或投标文件内容不一致，且评标过程中未发现的。应有利于采购人的原则执行。</w:t>
      </w:r>
    </w:p>
    <w:p>
      <w:pPr>
        <w:pStyle w:val="5"/>
        <w:spacing w:line="440" w:lineRule="exact"/>
        <w:ind w:firstLine="480" w:firstLineChars="200"/>
        <w:rPr>
          <w:rFonts w:hint="eastAsia" w:ascii="新宋体" w:hAnsi="新宋体" w:eastAsia="新宋体" w:cs="新宋体"/>
          <w:color w:val="000000"/>
          <w:sz w:val="24"/>
          <w:szCs w:val="24"/>
        </w:rPr>
      </w:pPr>
    </w:p>
    <w:p>
      <w:pPr>
        <w:spacing w:line="380" w:lineRule="exact"/>
        <w:ind w:firstLine="480" w:firstLineChars="200"/>
        <w:rPr>
          <w:rFonts w:hint="eastAsia" w:ascii="新宋体" w:hAnsi="新宋体" w:eastAsia="新宋体" w:cs="新宋体"/>
          <w:sz w:val="24"/>
        </w:rPr>
      </w:pPr>
      <w:r>
        <w:rPr>
          <w:rFonts w:hint="eastAsia" w:ascii="新宋体" w:hAnsi="新宋体" w:eastAsia="新宋体" w:cs="新宋体"/>
          <w:color w:val="000000"/>
          <w:sz w:val="24"/>
        </w:rPr>
        <w:t>供    方</w:t>
      </w: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需    方：</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line="380" w:lineRule="exact"/>
        <w:ind w:firstLine="480" w:firstLineChars="200"/>
        <w:rPr>
          <w:rFonts w:hint="eastAsia" w:ascii="新宋体" w:hAnsi="新宋体" w:eastAsia="新宋体" w:cs="新宋体"/>
          <w:sz w:val="24"/>
          <w:u w:val="single"/>
        </w:rPr>
      </w:pPr>
      <w:r>
        <w:rPr>
          <w:rFonts w:hint="eastAsia" w:ascii="新宋体" w:hAnsi="新宋体" w:eastAsia="新宋体" w:cs="新宋体"/>
          <w:sz w:val="24"/>
        </w:rPr>
        <w:t>地    址：</w:t>
      </w:r>
      <w:r>
        <w:rPr>
          <w:rFonts w:hint="eastAsia" w:ascii="新宋体" w:hAnsi="新宋体" w:eastAsia="新宋体" w:cs="新宋体"/>
          <w:sz w:val="24"/>
          <w:u w:val="single"/>
        </w:rPr>
        <w:t xml:space="preserve">                        </w:t>
      </w:r>
      <w:r>
        <w:rPr>
          <w:rFonts w:hint="eastAsia" w:ascii="新宋体" w:hAnsi="新宋体" w:eastAsia="新宋体" w:cs="新宋体"/>
          <w:sz w:val="24"/>
        </w:rPr>
        <w:t>地    址：</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法人代表：</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法人代表：</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u w:val="single"/>
        </w:rPr>
      </w:pPr>
      <w:r>
        <w:rPr>
          <w:rFonts w:hint="eastAsia" w:ascii="新宋体" w:hAnsi="新宋体" w:eastAsia="新宋体" w:cs="新宋体"/>
          <w:sz w:val="24"/>
        </w:rPr>
        <w:t>委托代理人：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委托代理人：</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u w:val="single"/>
        </w:rPr>
      </w:pPr>
      <w:r>
        <w:rPr>
          <w:rFonts w:hint="eastAsia" w:ascii="新宋体" w:hAnsi="新宋体" w:eastAsia="新宋体" w:cs="新宋体"/>
          <w:sz w:val="24"/>
        </w:rPr>
        <w:t xml:space="preserve">电    话：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电    话： </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开户名称：</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开户名称： </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开户银行：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开户银行： </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u w:val="single"/>
        </w:rPr>
      </w:pPr>
      <w:r>
        <w:rPr>
          <w:rFonts w:hint="eastAsia" w:ascii="新宋体" w:hAnsi="新宋体" w:eastAsia="新宋体" w:cs="新宋体"/>
          <w:sz w:val="24"/>
        </w:rPr>
        <w:t xml:space="preserve">帐    号：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帐    号： </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邮    编：</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邮    编：</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u w:val="single"/>
        </w:rPr>
      </w:pPr>
      <w:r>
        <w:rPr>
          <w:rFonts w:hint="eastAsia" w:ascii="新宋体" w:hAnsi="新宋体" w:eastAsia="新宋体" w:cs="新宋体"/>
          <w:sz w:val="24"/>
        </w:rPr>
        <w:t xml:space="preserve">签约时间：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签约时间： </w:t>
      </w:r>
      <w:r>
        <w:rPr>
          <w:rFonts w:hint="eastAsia" w:ascii="新宋体" w:hAnsi="新宋体" w:eastAsia="新宋体" w:cs="新宋体"/>
          <w:sz w:val="24"/>
          <w:u w:val="single"/>
        </w:rPr>
        <w:t xml:space="preserve">                         </w:t>
      </w:r>
    </w:p>
    <w:p>
      <w:pPr>
        <w:spacing w:line="3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签约地点：</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line="380" w:lineRule="exact"/>
        <w:rPr>
          <w:rFonts w:hint="eastAsia" w:ascii="新宋体" w:hAnsi="新宋体" w:eastAsia="新宋体" w:cs="新宋体"/>
          <w:sz w:val="24"/>
        </w:rPr>
      </w:pPr>
    </w:p>
    <w:p>
      <w:pPr>
        <w:spacing w:line="380" w:lineRule="exact"/>
        <w:ind w:firstLine="480" w:firstLineChars="200"/>
        <w:rPr>
          <w:rFonts w:hint="eastAsia" w:ascii="新宋体" w:hAnsi="新宋体" w:eastAsia="新宋体" w:cs="新宋体"/>
          <w:sz w:val="24"/>
        </w:rPr>
      </w:pPr>
    </w:p>
    <w:p>
      <w:pPr/>
    </w:p>
    <w:sectPr>
      <w:headerReference r:id="rId4" w:type="first"/>
      <w:footerReference r:id="rId7" w:type="first"/>
      <w:headerReference r:id="rId3" w:type="default"/>
      <w:footerReference r:id="rId5" w:type="default"/>
      <w:footerReference r:id="rId6" w:type="even"/>
      <w:pgSz w:w="11906" w:h="16838"/>
      <w:pgMar w:top="680" w:right="851" w:bottom="680" w:left="1247" w:header="567"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MS Mincho">
    <w:panose1 w:val="02020609040205080304"/>
    <w:charset w:val="80"/>
    <w:family w:val="decorative"/>
    <w:pitch w:val="default"/>
    <w:sig w:usb0="E00002FF" w:usb1="6AC7FDFB" w:usb2="00000012" w:usb3="00000000" w:csb0="4002009F" w:csb1="DFD70000"/>
  </w:font>
  <w:font w:name="楷体_GB2312">
    <w:altName w:val="楷体"/>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楷体_GB2312">
    <w:altName w:val="楷体"/>
    <w:panose1 w:val="02010609030101010101"/>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alibri Light">
    <w:altName w:val="Calibri"/>
    <w:panose1 w:val="020F0302020204030204"/>
    <w:charset w:val="00"/>
    <w:family w:val="roman"/>
    <w:pitch w:val="default"/>
    <w:sig w:usb0="00000000" w:usb1="00000000" w:usb2="00000000" w:usb3="00000000" w:csb0="0000019F" w:csb1="00000000"/>
  </w:font>
  <w:font w:name="微软雅黑">
    <w:panose1 w:val="020B0503020204020204"/>
    <w:charset w:val="86"/>
    <w:family w:val="roman"/>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modern"/>
    <w:pitch w:val="default"/>
    <w:sig w:usb0="80000287" w:usb1="280F3C52" w:usb2="00000016" w:usb3="00000000" w:csb0="0004001F" w:csb1="00000000"/>
  </w:font>
  <w:font w:name="Calibri Light">
    <w:altName w:val="Segoe UI"/>
    <w:panose1 w:val="00000000000000000000"/>
    <w:charset w:val="00"/>
    <w:family w:val="modern"/>
    <w:pitch w:val="default"/>
    <w:sig w:usb0="00000000" w:usb1="00000000" w:usb2="00000000" w:usb3="00000000" w:csb0="0000019F" w:csb1="00000000"/>
  </w:font>
  <w:font w:name="仿宋_GB2312">
    <w:altName w:val="仿宋"/>
    <w:panose1 w:val="00000000000000000000"/>
    <w:charset w:val="86"/>
    <w:family w:val="swiss"/>
    <w:pitch w:val="default"/>
    <w:sig w:usb0="00000000" w:usb1="00000000" w:usb2="00000010" w:usb3="00000000" w:csb0="00040000" w:csb1="00000000"/>
  </w:font>
  <w:font w:name="Calibri Light">
    <w:altName w:val="Calibri"/>
    <w:panose1 w:val="020F0302020204030204"/>
    <w:charset w:val="00"/>
    <w:family w:val="modern"/>
    <w:pitch w:val="default"/>
    <w:sig w:usb0="00000000" w:usb1="00000000" w:usb2="00000000" w:usb3="00000000" w:csb0="0000019F"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altName w:val="Segoe UI"/>
    <w:panose1 w:val="00000000000000000000"/>
    <w:charset w:val="00"/>
    <w:family w:val="swiss"/>
    <w:pitch w:val="default"/>
    <w:sig w:usb0="00000000" w:usb1="00000000" w:usb2="00000000" w:usb3="00000000" w:csb0="0000019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decorative"/>
    <w:pitch w:val="default"/>
    <w:sig w:usb0="80000287" w:usb1="280F3C52" w:usb2="00000016" w:usb3="00000000" w:csb0="0004001F" w:csb1="00000000"/>
  </w:font>
  <w:font w:name="Calibri Light">
    <w:altName w:val="Segoe UI"/>
    <w:panose1 w:val="00000000000000000000"/>
    <w:charset w:val="00"/>
    <w:family w:val="decorative"/>
    <w:pitch w:val="default"/>
    <w:sig w:usb0="00000000" w:usb1="00000000" w:usb2="00000000" w:usb3="00000000" w:csb0="0000019F" w:csb1="00000000"/>
  </w:font>
  <w:font w:name="Courier New">
    <w:panose1 w:val="02070309020205020404"/>
    <w:charset w:val="00"/>
    <w:family w:val="swiss"/>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黑体">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MS Mincho">
    <w:panose1 w:val="02020609040205080304"/>
    <w:charset w:val="80"/>
    <w:family w:val="swiss"/>
    <w:pitch w:val="default"/>
    <w:sig w:usb0="E00002FF" w:usb1="6AC7FDFB" w:usb2="00000012" w:usb3="00000000" w:csb0="4002009F" w:csb1="DFD70000"/>
  </w:font>
  <w:font w:name="Tahoma">
    <w:panose1 w:val="020B0604030504040204"/>
    <w:charset w:val="00"/>
    <w:family w:val="decorative"/>
    <w:pitch w:val="default"/>
    <w:sig w:usb0="E1002EFF" w:usb1="C000605B" w:usb2="00000029" w:usb3="00000000" w:csb0="200101FF" w:csb1="20280000"/>
  </w:font>
  <w:font w:name="Arial Unicode MS">
    <w:altName w:val="宋体"/>
    <w:panose1 w:val="020B0604020202020204"/>
    <w:charset w:val="86"/>
    <w:family w:val="decorative"/>
    <w:pitch w:val="default"/>
    <w:sig w:usb0="00000000" w:usb1="00000000" w:usb2="0000003F" w:usb3="00000000" w:csb0="003F01FF"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楷体">
    <w:panose1 w:val="02010609060101010101"/>
    <w:charset w:val="86"/>
    <w:family w:val="roman"/>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lang w:val="zh-CN" w:eastAsia="zh-CN"/>
      </w:rPr>
      <w:t>1</w:t>
    </w:r>
    <w:r>
      <w:fldChar w:fldCharType="end"/>
    </w:r>
  </w:p>
  <w:p>
    <w:pPr>
      <w:pStyle w:val="7"/>
      <w:rPr>
        <w:rStyle w:val="11"/>
        <w:rFonts w:hint="eastAsia"/>
      </w:rPr>
    </w:pP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360" w:lineRule="auto"/>
      <w:jc w:val="both"/>
      <w:rPr>
        <w:rFonts w:hint="eastAsia" w:ascii="新宋体" w:hAnsi="新宋体" w:eastAsia="新宋体"/>
        <w:b w:val="0"/>
        <w:bCs w:val="0"/>
        <w:sz w:val="18"/>
        <w:szCs w:val="18"/>
      </w:rPr>
    </w:pPr>
    <w:r>
      <w:rPr>
        <w:rFonts w:hint="eastAsia" w:ascii="新宋体" w:hAnsi="新宋体" w:eastAsia="新宋体" w:cs="新宋体"/>
        <w:b/>
        <w:bCs/>
        <w:sz w:val="18"/>
        <w:szCs w:val="18"/>
        <w:lang w:val="en-US" w:eastAsia="zh-CN"/>
      </w:rPr>
      <w:t xml:space="preserve">     </w:t>
    </w:r>
    <w:r>
      <w:rPr>
        <w:rFonts w:hint="eastAsia" w:ascii="新宋体" w:hAnsi="新宋体" w:eastAsia="新宋体" w:cs="新宋体"/>
        <w:b w:val="0"/>
        <w:bCs w:val="0"/>
        <w:sz w:val="18"/>
        <w:szCs w:val="18"/>
        <w:lang w:val="en-US" w:eastAsia="zh-CN"/>
      </w:rPr>
      <w:t xml:space="preserve">  </w:t>
    </w:r>
    <w:r>
      <w:rPr>
        <w:rFonts w:hint="eastAsia" w:ascii="新宋体" w:hAnsi="新宋体" w:eastAsia="新宋体" w:cs="新宋体"/>
        <w:b w:val="0"/>
        <w:bCs w:val="0"/>
        <w:sz w:val="18"/>
        <w:szCs w:val="18"/>
      </w:rPr>
      <w:t>采购编号：YWWJW2015</w:t>
    </w:r>
    <w:r>
      <w:rPr>
        <w:rFonts w:hint="eastAsia" w:ascii="新宋体" w:hAnsi="新宋体" w:eastAsia="新宋体" w:cs="新宋体"/>
        <w:b w:val="0"/>
        <w:bCs w:val="0"/>
        <w:sz w:val="18"/>
        <w:szCs w:val="18"/>
        <w:lang w:val="en-US" w:eastAsia="zh-CN"/>
      </w:rPr>
      <w:t>JH</w:t>
    </w:r>
    <w:r>
      <w:rPr>
        <w:rFonts w:hint="eastAsia" w:ascii="新宋体" w:hAnsi="新宋体" w:eastAsia="新宋体" w:cs="新宋体"/>
        <w:b w:val="0"/>
        <w:bCs w:val="0"/>
        <w:sz w:val="18"/>
        <w:szCs w:val="18"/>
      </w:rPr>
      <w:t>-</w:t>
    </w:r>
    <w:r>
      <w:rPr>
        <w:rFonts w:hint="eastAsia" w:ascii="新宋体" w:hAnsi="新宋体" w:eastAsia="新宋体" w:cs="新宋体"/>
        <w:b w:val="0"/>
        <w:bCs w:val="0"/>
        <w:sz w:val="18"/>
        <w:szCs w:val="18"/>
        <w:lang w:val="en-US" w:eastAsia="zh-CN"/>
      </w:rPr>
      <w:t xml:space="preserve">001    </w:t>
    </w:r>
    <w:r>
      <w:rPr>
        <w:rFonts w:hint="eastAsia" w:ascii="新宋体" w:hAnsi="新宋体" w:eastAsia="新宋体" w:cs="新宋体"/>
        <w:b w:val="0"/>
        <w:bCs w:val="0"/>
        <w:sz w:val="18"/>
        <w:szCs w:val="18"/>
      </w:rPr>
      <w:t>义乌市卫计委</w:t>
    </w:r>
    <w:r>
      <w:rPr>
        <w:rFonts w:hint="eastAsia" w:ascii="新宋体" w:hAnsi="新宋体" w:eastAsia="新宋体" w:cs="新宋体"/>
        <w:b w:val="0"/>
        <w:bCs w:val="0"/>
        <w:sz w:val="18"/>
        <w:szCs w:val="18"/>
        <w:lang w:eastAsia="zh-CN"/>
      </w:rPr>
      <w:t>医疗</w:t>
    </w:r>
    <w:r>
      <w:rPr>
        <w:rFonts w:hint="eastAsia" w:ascii="新宋体" w:hAnsi="新宋体" w:eastAsia="新宋体" w:cs="新宋体"/>
        <w:b w:val="0"/>
        <w:bCs w:val="0"/>
        <w:sz w:val="18"/>
        <w:szCs w:val="18"/>
      </w:rPr>
      <w:t xml:space="preserve">设备采购项目 </w:t>
    </w:r>
    <w:r>
      <w:rPr>
        <w:rFonts w:hint="eastAsia" w:ascii="新宋体" w:hAnsi="新宋体" w:eastAsia="新宋体"/>
        <w:b w:val="0"/>
        <w:bCs w:val="0"/>
      </w:rPr>
      <w:t xml:space="preserve">                    </w:t>
    </w:r>
    <w:r>
      <w:rPr>
        <w:rFonts w:hint="eastAsia" w:ascii="新宋体" w:hAnsi="新宋体" w:eastAsia="新宋体"/>
        <w:b w:val="0"/>
        <w:bCs w:val="0"/>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709007">
    <w:nsid w:val="563B070F"/>
    <w:multiLevelType w:val="singleLevel"/>
    <w:tmpl w:val="563B070F"/>
    <w:lvl w:ilvl="0" w:tentative="1">
      <w:start w:val="2"/>
      <w:numFmt w:val="chineseCounting"/>
      <w:suff w:val="nothing"/>
      <w:lvlText w:val="%1、"/>
      <w:lvlJc w:val="left"/>
    </w:lvl>
  </w:abstractNum>
  <w:abstractNum w:abstractNumId="1445391216">
    <w:nsid w:val="5626EB70"/>
    <w:multiLevelType w:val="singleLevel"/>
    <w:tmpl w:val="5626EB70"/>
    <w:lvl w:ilvl="0" w:tentative="1">
      <w:start w:val="2"/>
      <w:numFmt w:val="chineseCounting"/>
      <w:suff w:val="nothing"/>
      <w:lvlText w:val="（%1）"/>
      <w:lvlJc w:val="left"/>
    </w:lvl>
  </w:abstractNum>
  <w:abstractNum w:abstractNumId="5">
    <w:nsid w:val="00000005"/>
    <w:multiLevelType w:val="multilevel"/>
    <w:tmpl w:val="00000005"/>
    <w:lvl w:ilvl="0" w:tentative="1">
      <w:start w:val="1"/>
      <w:numFmt w:val="decimal"/>
      <w:lvlText w:val="%1、"/>
      <w:lvlJc w:val="left"/>
      <w:pPr>
        <w:tabs>
          <w:tab w:val="left" w:pos="840"/>
        </w:tabs>
        <w:ind w:left="840" w:hanging="36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8">
    <w:nsid w:val="00000008"/>
    <w:multiLevelType w:val="multilevel"/>
    <w:tmpl w:val="00000008"/>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8"/>
  </w:num>
  <w:num w:numId="2">
    <w:abstractNumId w:val="1446709007"/>
  </w:num>
  <w:num w:numId="3">
    <w:abstractNumId w:val="1445391216"/>
  </w:num>
  <w:num w:numId="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12A21"/>
    <w:rsid w:val="444A0FF5"/>
    <w:rsid w:val="65F60FC4"/>
    <w:rsid w:val="72F12A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rPr>
      <w:sz w:val="24"/>
    </w:rPr>
  </w:style>
  <w:style w:type="paragraph" w:styleId="4">
    <w:name w:val="Body Text Indent"/>
    <w:basedOn w:val="1"/>
    <w:qFormat/>
    <w:uiPriority w:val="0"/>
    <w:pPr>
      <w:ind w:firstLine="420" w:firstLineChars="200"/>
    </w:pPr>
  </w:style>
  <w:style w:type="paragraph" w:styleId="5">
    <w:name w:val="Plain Text"/>
    <w:basedOn w:val="1"/>
    <w:qFormat/>
    <w:uiPriority w:val="0"/>
    <w:rPr>
      <w:rFonts w:ascii="宋体" w:hAnsi="Courier New"/>
      <w:szCs w:val="20"/>
    </w:rPr>
  </w:style>
  <w:style w:type="paragraph" w:styleId="6">
    <w:name w:val="Body Text Indent 2"/>
    <w:basedOn w:val="1"/>
    <w:uiPriority w:val="0"/>
    <w:pPr>
      <w:spacing w:line="360" w:lineRule="auto"/>
      <w:ind w:firstLine="480"/>
    </w:pPr>
    <w:rPr>
      <w:rFonts w:ascii="宋体" w:hAnsi="宋体"/>
      <w:sz w:val="24"/>
      <w:szCs w:val="24"/>
      <w:lang w:val="en-US" w:eastAsia="zh-CN" w:bidi="ar-SA"/>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1">
    <w:name w:val="page number"/>
    <w:basedOn w:val="10"/>
    <w:uiPriority w:val="0"/>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样式"/>
    <w:basedOn w:val="1"/>
    <w:qFormat/>
    <w:uiPriority w:val="0"/>
    <w:pPr>
      <w:autoSpaceDE w:val="0"/>
      <w:autoSpaceDN w:val="0"/>
      <w:snapToGrid w:val="0"/>
      <w:spacing w:before="120" w:beforeLines="0" w:after="120" w:afterLines="0" w:line="360" w:lineRule="auto"/>
    </w:pPr>
    <w:rPr>
      <w:rFonts w:ascii="宋体"/>
      <w:sz w:val="24"/>
      <w:szCs w:val="20"/>
    </w:rPr>
  </w:style>
  <w:style w:type="paragraph" w:customStyle="1" w:styleId="15">
    <w:name w:val="List Paragraph"/>
    <w:basedOn w:val="1"/>
    <w:qFormat/>
    <w:uiPriority w:val="0"/>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2015-11-01T13:55:00Z</dcterms:created>
  <dc:creator>Administrator</dc:creator>
  <cp:lastModifiedBy>Administrator</cp:lastModifiedBy>
  <dcterms:modified xsi:type="dcterms:W3CDTF">2015-11-05T07:13:39Z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